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lang w:val="en-US" w:eastAsia="zh-CN"/>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lang w:val="en-US" w:eastAsia="zh-CN"/>
        </w:rPr>
      </w:pPr>
    </w:p>
    <w:p>
      <w:pPr>
        <w:pageBreakBefore w:val="0"/>
        <w:wordWrap/>
        <w:overflowPunct/>
        <w:topLinePunct w:val="0"/>
        <w:bidi w:val="0"/>
        <w:snapToGrid/>
        <w:spacing w:before="169" w:line="560" w:lineRule="exact"/>
        <w:ind w:firstLine="0" w:firstLineChars="0"/>
        <w:jc w:val="center"/>
        <w:rPr>
          <w:rFonts w:hint="default" w:ascii="Times New Roman" w:hAnsi="Times New Roman" w:eastAsia="黑体" w:cs="Times New Roman"/>
          <w:b/>
          <w:spacing w:val="-15"/>
          <w:kern w:val="0"/>
          <w:sz w:val="52"/>
          <w:szCs w:val="52"/>
          <w:highlight w:val="none"/>
          <w:lang w:val="en-US" w:eastAsia="zh-CN"/>
        </w:rPr>
      </w:pPr>
    </w:p>
    <w:p>
      <w:pPr>
        <w:pageBreakBefore w:val="0"/>
        <w:wordWrap/>
        <w:overflowPunct/>
        <w:topLinePunct w:val="0"/>
        <w:bidi w:val="0"/>
        <w:snapToGrid/>
        <w:spacing w:before="169" w:line="560" w:lineRule="exact"/>
        <w:ind w:firstLine="0" w:firstLineChars="0"/>
        <w:jc w:val="center"/>
        <w:rPr>
          <w:rFonts w:hint="default" w:ascii="Times New Roman" w:hAnsi="Times New Roman" w:eastAsia="黑体" w:cs="Times New Roman"/>
          <w:b/>
          <w:spacing w:val="-15"/>
          <w:kern w:val="0"/>
          <w:sz w:val="52"/>
          <w:szCs w:val="52"/>
          <w:highlight w:val="none"/>
          <w:lang w:eastAsia="zh-CN"/>
        </w:rPr>
      </w:pPr>
      <w:r>
        <w:rPr>
          <w:rFonts w:hint="default" w:ascii="Times New Roman" w:hAnsi="Times New Roman" w:eastAsia="黑体" w:cs="Times New Roman"/>
          <w:b/>
          <w:spacing w:val="-15"/>
          <w:kern w:val="0"/>
          <w:sz w:val="52"/>
          <w:szCs w:val="52"/>
          <w:highlight w:val="none"/>
          <w:lang w:val="en-US" w:eastAsia="zh-CN"/>
        </w:rPr>
        <w:t>克拉玛依区</w:t>
      </w:r>
      <w:r>
        <w:rPr>
          <w:rFonts w:hint="eastAsia" w:ascii="Times New Roman" w:hAnsi="Times New Roman" w:eastAsia="黑体" w:cs="Times New Roman"/>
          <w:b/>
          <w:spacing w:val="-15"/>
          <w:kern w:val="0"/>
          <w:sz w:val="52"/>
          <w:szCs w:val="52"/>
          <w:highlight w:val="none"/>
          <w:lang w:val="en-US" w:eastAsia="zh-CN"/>
        </w:rPr>
        <w:t>2024年度东彩小学新建工程</w:t>
      </w:r>
      <w:r>
        <w:rPr>
          <w:rFonts w:hint="default" w:ascii="Times New Roman" w:hAnsi="Times New Roman" w:eastAsia="黑体" w:cs="Times New Roman"/>
          <w:b/>
          <w:spacing w:val="-15"/>
          <w:kern w:val="0"/>
          <w:sz w:val="52"/>
          <w:szCs w:val="52"/>
          <w:highlight w:val="none"/>
          <w:lang w:eastAsia="zh-CN"/>
        </w:rPr>
        <w:t>绩效评价报告</w:t>
      </w: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ind w:firstLine="0" w:firstLineChars="0"/>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p>
      <w:pPr>
        <w:pageBreakBefore w:val="0"/>
        <w:wordWrap/>
        <w:overflowPunct/>
        <w:topLinePunct w:val="0"/>
        <w:bidi w:val="0"/>
        <w:snapToGrid/>
        <w:spacing w:before="101" w:line="560" w:lineRule="exact"/>
        <w:ind w:left="1306" w:firstLine="0" w:firstLineChars="0"/>
        <w:jc w:val="left"/>
        <w:rPr>
          <w:rFonts w:hint="default" w:ascii="Times New Roman" w:hAnsi="Times New Roman" w:eastAsia="黑体" w:cs="Times New Roman"/>
          <w:spacing w:val="6"/>
          <w:kern w:val="0"/>
          <w:sz w:val="32"/>
          <w:szCs w:val="32"/>
          <w:highlight w:val="none"/>
          <w:lang w:val="en-US" w:eastAsia="zh-CN"/>
        </w:rPr>
      </w:pPr>
      <w:r>
        <w:rPr>
          <w:rFonts w:hint="default" w:ascii="Times New Roman" w:hAnsi="Times New Roman" w:eastAsia="黑体" w:cs="Times New Roman"/>
          <w:spacing w:val="6"/>
          <w:kern w:val="0"/>
          <w:sz w:val="32"/>
          <w:szCs w:val="32"/>
          <w:highlight w:val="none"/>
          <w:lang w:eastAsia="zh-CN"/>
        </w:rPr>
        <w:t>项目名称：</w:t>
      </w:r>
      <w:r>
        <w:rPr>
          <w:rFonts w:hint="default" w:ascii="Times New Roman" w:hAnsi="Times New Roman" w:eastAsia="黑体" w:cs="Times New Roman"/>
          <w:spacing w:val="6"/>
          <w:kern w:val="0"/>
          <w:sz w:val="32"/>
          <w:szCs w:val="32"/>
          <w:highlight w:val="none"/>
          <w:lang w:val="en-US" w:eastAsia="zh-CN"/>
        </w:rPr>
        <w:t>2024年克拉玛依市克拉玛依区东彩小学新建工程项目</w:t>
      </w:r>
    </w:p>
    <w:p>
      <w:pPr>
        <w:pageBreakBefore w:val="0"/>
        <w:wordWrap/>
        <w:overflowPunct/>
        <w:topLinePunct w:val="0"/>
        <w:bidi w:val="0"/>
        <w:snapToGrid/>
        <w:spacing w:before="101" w:line="560" w:lineRule="exact"/>
        <w:ind w:left="1306" w:firstLine="0" w:firstLineChars="0"/>
        <w:jc w:val="left"/>
        <w:rPr>
          <w:rFonts w:hint="default" w:ascii="Times New Roman" w:hAnsi="Times New Roman" w:eastAsia="黑体" w:cs="Times New Roman"/>
          <w:spacing w:val="6"/>
          <w:kern w:val="0"/>
          <w:sz w:val="32"/>
          <w:szCs w:val="32"/>
          <w:highlight w:val="none"/>
          <w:lang w:val="en-US" w:eastAsia="zh-CN"/>
        </w:rPr>
      </w:pPr>
      <w:r>
        <w:rPr>
          <w:rFonts w:hint="default" w:ascii="Times New Roman" w:hAnsi="Times New Roman" w:eastAsia="黑体" w:cs="Times New Roman"/>
          <w:spacing w:val="6"/>
          <w:kern w:val="0"/>
          <w:sz w:val="32"/>
          <w:szCs w:val="32"/>
          <w:highlight w:val="none"/>
          <w:lang w:eastAsia="zh-CN"/>
        </w:rPr>
        <w:t>项目单位：</w:t>
      </w:r>
      <w:r>
        <w:rPr>
          <w:rFonts w:hint="default" w:ascii="Times New Roman" w:hAnsi="Times New Roman" w:eastAsia="黑体" w:cs="Times New Roman"/>
          <w:spacing w:val="6"/>
          <w:kern w:val="0"/>
          <w:sz w:val="32"/>
          <w:szCs w:val="32"/>
          <w:highlight w:val="none"/>
          <w:lang w:val="en-US" w:eastAsia="zh-CN"/>
        </w:rPr>
        <w:t>克拉玛依区教育局</w:t>
      </w:r>
    </w:p>
    <w:p>
      <w:pPr>
        <w:pageBreakBefore w:val="0"/>
        <w:wordWrap/>
        <w:overflowPunct/>
        <w:topLinePunct w:val="0"/>
        <w:bidi w:val="0"/>
        <w:snapToGrid/>
        <w:spacing w:before="101" w:line="560" w:lineRule="exact"/>
        <w:ind w:left="1306" w:firstLine="0" w:firstLineChars="0"/>
        <w:jc w:val="left"/>
        <w:rPr>
          <w:rFonts w:hint="default" w:ascii="Times New Roman" w:hAnsi="Times New Roman" w:eastAsia="黑体" w:cs="Times New Roman"/>
          <w:spacing w:val="6"/>
          <w:kern w:val="0"/>
          <w:sz w:val="32"/>
          <w:szCs w:val="32"/>
          <w:highlight w:val="none"/>
          <w:lang w:eastAsia="zh-CN"/>
        </w:rPr>
      </w:pPr>
      <w:r>
        <w:rPr>
          <w:rFonts w:hint="default" w:ascii="Times New Roman" w:hAnsi="Times New Roman" w:eastAsia="黑体" w:cs="Times New Roman"/>
          <w:spacing w:val="6"/>
          <w:kern w:val="0"/>
          <w:sz w:val="32"/>
          <w:szCs w:val="32"/>
          <w:highlight w:val="none"/>
          <w:lang w:eastAsia="zh-CN"/>
        </w:rPr>
        <w:t>主管部门：</w:t>
      </w:r>
      <w:r>
        <w:rPr>
          <w:rFonts w:hint="default" w:ascii="Times New Roman" w:hAnsi="Times New Roman" w:eastAsia="黑体" w:cs="Times New Roman"/>
          <w:spacing w:val="6"/>
          <w:kern w:val="0"/>
          <w:sz w:val="32"/>
          <w:szCs w:val="32"/>
          <w:highlight w:val="none"/>
          <w:lang w:val="en-US" w:eastAsia="zh-CN"/>
        </w:rPr>
        <w:t>克拉玛依区教育局</w:t>
      </w:r>
    </w:p>
    <w:p>
      <w:pPr>
        <w:pageBreakBefore w:val="0"/>
        <w:wordWrap/>
        <w:overflowPunct/>
        <w:topLinePunct w:val="0"/>
        <w:bidi w:val="0"/>
        <w:snapToGrid/>
        <w:spacing w:before="101" w:line="560" w:lineRule="exact"/>
        <w:ind w:left="1306" w:firstLine="0" w:firstLineChars="0"/>
        <w:jc w:val="left"/>
        <w:rPr>
          <w:rFonts w:hint="default" w:ascii="Times New Roman" w:hAnsi="Times New Roman" w:eastAsia="黑体" w:cs="Times New Roman"/>
          <w:spacing w:val="6"/>
          <w:kern w:val="0"/>
          <w:sz w:val="32"/>
          <w:szCs w:val="32"/>
          <w:highlight w:val="none"/>
          <w:lang w:eastAsia="zh-CN"/>
        </w:rPr>
      </w:pPr>
      <w:r>
        <w:rPr>
          <w:rFonts w:hint="default" w:ascii="Times New Roman" w:hAnsi="Times New Roman" w:eastAsia="黑体" w:cs="Times New Roman"/>
          <w:spacing w:val="6"/>
          <w:kern w:val="0"/>
          <w:sz w:val="32"/>
          <w:szCs w:val="32"/>
          <w:highlight w:val="none"/>
          <w:lang w:eastAsia="zh-CN"/>
        </w:rPr>
        <w:t>委托单位：克拉玛依区财政局</w:t>
      </w:r>
    </w:p>
    <w:p>
      <w:pPr>
        <w:pageBreakBefore w:val="0"/>
        <w:wordWrap/>
        <w:overflowPunct/>
        <w:topLinePunct w:val="0"/>
        <w:bidi w:val="0"/>
        <w:snapToGrid/>
        <w:spacing w:before="101" w:line="560" w:lineRule="exact"/>
        <w:ind w:left="1306" w:firstLine="0" w:firstLineChars="0"/>
        <w:jc w:val="left"/>
        <w:rPr>
          <w:rFonts w:hint="default" w:ascii="Times New Roman" w:hAnsi="Times New Roman" w:eastAsia="黑体" w:cs="Times New Roman"/>
          <w:spacing w:val="6"/>
          <w:kern w:val="0"/>
          <w:sz w:val="32"/>
          <w:szCs w:val="32"/>
          <w:highlight w:val="none"/>
          <w:lang w:eastAsia="zh-CN"/>
        </w:rPr>
      </w:pPr>
      <w:r>
        <w:rPr>
          <w:rFonts w:hint="default" w:ascii="Times New Roman" w:hAnsi="Times New Roman" w:eastAsia="黑体" w:cs="Times New Roman"/>
          <w:spacing w:val="6"/>
          <w:kern w:val="0"/>
          <w:sz w:val="32"/>
          <w:szCs w:val="32"/>
          <w:highlight w:val="none"/>
          <w:lang w:eastAsia="zh-CN"/>
        </w:rPr>
        <w:t>评价机构：</w:t>
      </w:r>
      <w:r>
        <w:rPr>
          <w:rFonts w:hint="default" w:ascii="Times New Roman" w:hAnsi="Times New Roman" w:eastAsia="黑体" w:cs="Times New Roman"/>
          <w:spacing w:val="6"/>
          <w:kern w:val="0"/>
          <w:sz w:val="32"/>
          <w:szCs w:val="32"/>
          <w:highlight w:val="none"/>
          <w:lang w:val="en-US" w:eastAsia="zh-CN"/>
        </w:rPr>
        <w:t>北京上计会计师事务所（普通合伙）</w:t>
      </w:r>
      <w:r>
        <w:rPr>
          <w:rFonts w:hint="default" w:ascii="Times New Roman" w:hAnsi="Times New Roman" w:eastAsia="黑体" w:cs="Times New Roman"/>
          <w:spacing w:val="6"/>
          <w:kern w:val="0"/>
          <w:sz w:val="32"/>
          <w:szCs w:val="32"/>
          <w:highlight w:val="none"/>
          <w:lang w:eastAsia="zh-CN"/>
        </w:rPr>
        <w:t xml:space="preserve"> </w:t>
      </w:r>
    </w:p>
    <w:p>
      <w:pPr>
        <w:keepNext w:val="0"/>
        <w:keepLines w:val="0"/>
        <w:pageBreakBefore w:val="0"/>
        <w:widowControl/>
        <w:tabs>
          <w:tab w:val="left" w:pos="630"/>
        </w:tabs>
        <w:kinsoku w:val="0"/>
        <w:wordWrap/>
        <w:overflowPunct/>
        <w:topLinePunct w:val="0"/>
        <w:autoSpaceDE w:val="0"/>
        <w:autoSpaceDN w:val="0"/>
        <w:bidi w:val="0"/>
        <w:adjustRightInd w:val="0"/>
        <w:snapToGrid/>
        <w:spacing w:before="299" w:line="560" w:lineRule="exact"/>
        <w:ind w:right="1280" w:rightChars="400"/>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202</w:t>
      </w:r>
      <w:r>
        <w:rPr>
          <w:rFonts w:hint="default" w:ascii="Times New Roman" w:hAnsi="Times New Roman" w:eastAsia="黑体" w:cs="Times New Roman"/>
          <w:sz w:val="32"/>
          <w:szCs w:val="32"/>
          <w:highlight w:val="none"/>
          <w:lang w:val="en-US" w:eastAsia="zh-CN"/>
        </w:rPr>
        <w:t>5</w:t>
      </w:r>
      <w:r>
        <w:rPr>
          <w:rFonts w:hint="default" w:ascii="Times New Roman" w:hAnsi="Times New Roman" w:eastAsia="黑体" w:cs="Times New Roman"/>
          <w:spacing w:val="16"/>
          <w:sz w:val="32"/>
          <w:szCs w:val="32"/>
          <w:highlight w:val="none"/>
        </w:rPr>
        <w:t xml:space="preserve"> </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pacing w:val="-61"/>
          <w:sz w:val="32"/>
          <w:szCs w:val="32"/>
          <w:highlight w:val="none"/>
        </w:rPr>
        <w:t xml:space="preserve"> </w:t>
      </w:r>
      <w:r>
        <w:rPr>
          <w:rFonts w:hint="default" w:ascii="Times New Roman" w:hAnsi="Times New Roman" w:eastAsia="黑体" w:cs="Times New Roman"/>
          <w:spacing w:val="-61"/>
          <w:sz w:val="32"/>
          <w:szCs w:val="32"/>
          <w:highlight w:val="none"/>
          <w:lang w:val="en-US" w:eastAsia="zh-CN"/>
        </w:rPr>
        <w:t xml:space="preserve">    </w:t>
      </w:r>
      <w:r>
        <w:rPr>
          <w:rFonts w:hint="default" w:ascii="Times New Roman" w:hAnsi="Times New Roman" w:eastAsia="黑体" w:cs="Times New Roman"/>
          <w:sz w:val="32"/>
          <w:szCs w:val="32"/>
          <w:highlight w:val="none"/>
        </w:rPr>
        <w:t>7</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月</w:t>
      </w: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黑体" w:cs="Times New Roman"/>
          <w:sz w:val="32"/>
          <w:szCs w:val="32"/>
          <w:highlight w:val="none"/>
        </w:rPr>
        <w:sectPr>
          <w:headerReference r:id="rId5" w:type="default"/>
          <w:pgSz w:w="11906" w:h="16839"/>
          <w:pgMar w:top="400" w:right="1785" w:bottom="0" w:left="1785" w:header="0" w:footer="0" w:gutter="0"/>
          <w:cols w:space="720" w:num="1"/>
        </w:sectPr>
      </w:pPr>
    </w:p>
    <w:tbl>
      <w:tblPr>
        <w:tblStyle w:val="21"/>
        <w:tblW w:w="9219"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3"/>
        <w:gridCol w:w="1282"/>
        <w:gridCol w:w="1511"/>
        <w:gridCol w:w="980"/>
        <w:gridCol w:w="1743"/>
        <w:gridCol w:w="20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149" w:type="dxa"/>
            <w:gridSpan w:val="5"/>
            <w:tcBorders>
              <w:top w:val="nil"/>
              <w:left w:val="nil"/>
              <w:bottom w:val="nil"/>
              <w:right w:val="nil"/>
            </w:tcBorders>
            <w:shd w:val="clear" w:color="auto" w:fill="auto"/>
            <w:noWrap/>
            <w:vAlign w:val="center"/>
          </w:tcPr>
          <w:p>
            <w:pPr>
              <w:pStyle w:val="39"/>
              <w:pageBreakBefore w:val="0"/>
              <w:wordWrap/>
              <w:overflowPunct/>
              <w:topLinePunct w:val="0"/>
              <w:bidi w:val="0"/>
              <w:snapToGrid/>
              <w:spacing w:line="560" w:lineRule="exact"/>
              <w:jc w:val="lef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评价分值：9</w:t>
            </w:r>
            <w:r>
              <w:rPr>
                <w:rFonts w:hint="eastAsia" w:cs="Times New Roman"/>
                <w:highlight w:val="none"/>
                <w:lang w:val="en-US" w:eastAsia="zh-CN"/>
              </w:rPr>
              <w:t>9</w:t>
            </w:r>
            <w:r>
              <w:rPr>
                <w:rFonts w:hint="default" w:ascii="Times New Roman" w:hAnsi="Times New Roman" w:cs="Times New Roman"/>
                <w:highlight w:val="none"/>
                <w:lang w:val="en-US" w:eastAsia="zh-CN"/>
              </w:rPr>
              <w:t>分</w:t>
            </w:r>
          </w:p>
        </w:tc>
        <w:tc>
          <w:tcPr>
            <w:tcW w:w="2070" w:type="dxa"/>
            <w:tcBorders>
              <w:top w:val="nil"/>
              <w:left w:val="nil"/>
              <w:bottom w:val="nil"/>
              <w:right w:val="nil"/>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评价等级：优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219" w:type="dxa"/>
            <w:gridSpan w:val="6"/>
            <w:vMerge w:val="restart"/>
            <w:tcBorders>
              <w:top w:val="nil"/>
              <w:left w:val="nil"/>
              <w:bottom w:val="nil"/>
              <w:right w:val="nil"/>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eastAsia" w:cs="Times New Roman"/>
                <w:highlight w:val="none"/>
                <w:lang w:val="en-US" w:eastAsia="zh-CN"/>
              </w:rPr>
              <w:t>项目关键信息表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219" w:type="dxa"/>
            <w:gridSpan w:val="6"/>
            <w:vMerge w:val="continue"/>
            <w:tcBorders>
              <w:top w:val="nil"/>
              <w:left w:val="nil"/>
              <w:bottom w:val="nil"/>
              <w:right w:val="nil"/>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149" w:type="dxa"/>
            <w:gridSpan w:val="5"/>
            <w:tcBorders>
              <w:top w:val="nil"/>
              <w:left w:val="nil"/>
              <w:bottom w:val="single" w:color="auto" w:sz="4" w:space="0"/>
              <w:right w:val="nil"/>
            </w:tcBorders>
            <w:shd w:val="clear" w:color="auto" w:fill="auto"/>
            <w:noWrap/>
            <w:vAlign w:val="center"/>
          </w:tcPr>
          <w:p>
            <w:pPr>
              <w:pStyle w:val="39"/>
              <w:pageBreakBefore w:val="0"/>
              <w:wordWrap/>
              <w:overflowPunct/>
              <w:topLinePunct w:val="0"/>
              <w:bidi w:val="0"/>
              <w:snapToGrid/>
              <w:spacing w:line="560" w:lineRule="exact"/>
              <w:jc w:val="left"/>
              <w:rPr>
                <w:rFonts w:hint="default" w:ascii="Times New Roman" w:hAnsi="Times New Roman" w:cs="Times New Roman"/>
                <w:highlight w:val="none"/>
              </w:rPr>
            </w:pPr>
            <w:r>
              <w:rPr>
                <w:rFonts w:hint="default" w:ascii="Times New Roman" w:hAnsi="Times New Roman" w:cs="Times New Roman"/>
                <w:highlight w:val="none"/>
                <w:lang w:val="en-US" w:eastAsia="zh-CN"/>
              </w:rPr>
              <w:t>评价机构全称：北京上计会计师事务所（普通合伙）</w:t>
            </w:r>
          </w:p>
        </w:tc>
        <w:tc>
          <w:tcPr>
            <w:tcW w:w="2070" w:type="dxa"/>
            <w:tcBorders>
              <w:top w:val="nil"/>
              <w:left w:val="nil"/>
              <w:bottom w:val="single" w:color="auto" w:sz="4" w:space="0"/>
              <w:right w:val="nil"/>
            </w:tcBorders>
            <w:shd w:val="clear" w:color="auto" w:fill="auto"/>
            <w:noWrap/>
            <w:vAlign w:val="center"/>
          </w:tcPr>
          <w:p>
            <w:pPr>
              <w:pStyle w:val="39"/>
              <w:pageBreakBefore w:val="0"/>
              <w:wordWrap/>
              <w:overflowPunct/>
              <w:topLinePunct w:val="0"/>
              <w:bidi w:val="0"/>
              <w:snapToGrid/>
              <w:spacing w:line="560" w:lineRule="exact"/>
              <w:jc w:val="right"/>
              <w:rPr>
                <w:rFonts w:hint="default" w:ascii="Times New Roman" w:hAnsi="Times New Roman" w:cs="Times New Roman"/>
                <w:highlight w:val="none"/>
              </w:rPr>
            </w:pPr>
            <w:r>
              <w:rPr>
                <w:rFonts w:hint="default" w:ascii="Times New Roman" w:hAnsi="Times New Roman" w:cs="Times New Roman"/>
                <w:highlight w:val="none"/>
                <w:lang w:val="en-US" w:eastAsia="zh-CN"/>
              </w:rPr>
              <w:t>单位：万元、个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项目名称</w:t>
            </w:r>
          </w:p>
        </w:tc>
        <w:tc>
          <w:tcPr>
            <w:tcW w:w="377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eastAsia="FangSong_GB2312" w:cs="Times New Roman"/>
                <w:highlight w:val="none"/>
                <w:lang w:eastAsia="zh-CN"/>
              </w:rPr>
            </w:pPr>
            <w:r>
              <w:rPr>
                <w:rFonts w:hint="default" w:ascii="Times New Roman" w:hAnsi="Times New Roman" w:cs="Times New Roman"/>
                <w:highlight w:val="none"/>
                <w:lang w:val="en-US" w:eastAsia="zh-CN"/>
              </w:rPr>
              <w:t>克拉玛依市克拉玛依区东彩小学新建工程项目</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评价年度</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项目主管科室</w:t>
            </w:r>
          </w:p>
        </w:tc>
        <w:tc>
          <w:tcPr>
            <w:tcW w:w="377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克拉玛依区教育局</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联系人及联系方式</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孔祥龙：13519912416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项目主管部门</w:t>
            </w:r>
          </w:p>
        </w:tc>
        <w:tc>
          <w:tcPr>
            <w:tcW w:w="377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克拉玛依区教育局</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联系人及联系方式</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孔祥龙：13519912416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自评方式</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2024年度项目自评表</w:t>
            </w:r>
          </w:p>
        </w:tc>
        <w:tc>
          <w:tcPr>
            <w:tcW w:w="1511"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自评分值</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自评等级</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本级债券资金拨付数</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5000</w:t>
            </w:r>
          </w:p>
        </w:tc>
        <w:tc>
          <w:tcPr>
            <w:tcW w:w="1511"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本级债券资金抽查数</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5000</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本级债券资金抽查占比</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项目类别</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工程建设类</w:t>
            </w:r>
          </w:p>
        </w:tc>
        <w:tc>
          <w:tcPr>
            <w:tcW w:w="1511"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抽查类别</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工程建设类</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类别抽查占比</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项目数量</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1511"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抽查项目数</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项目抽查占比</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涉及市县数或项目点</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抽查市县数或项目点</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抽查区域</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发放调查问券</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1511"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有效调查问卷</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17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满意度情况</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项目未完工不涉及明确受益对象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63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绩效评价总体情况</w:t>
            </w:r>
          </w:p>
        </w:tc>
        <w:tc>
          <w:tcPr>
            <w:tcW w:w="7586"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ind w:firstLine="436" w:firstLineChars="200"/>
              <w:jc w:val="left"/>
              <w:rPr>
                <w:rFonts w:hint="default" w:ascii="Times New Roman" w:hAnsi="Times New Roman" w:cs="Times New Roman"/>
                <w:highlight w:val="none"/>
              </w:rPr>
            </w:pPr>
            <w:r>
              <w:rPr>
                <w:rFonts w:hint="default" w:ascii="Times New Roman" w:hAnsi="Times New Roman" w:cs="Times New Roman"/>
                <w:highlight w:val="none"/>
                <w:lang w:val="en-US" w:eastAsia="zh-CN"/>
              </w:rPr>
              <w:t>依据《关于转贷2024年自治区第三批地方政府债券的通知》(克财预〔2024〕6号)现转贷你区2024年第三批地方政府债券18000万元，根据附件2：2024年自治区第三批新增地方政府一般债券发行明细表-克拉玛依市　用于建设克拉玛依市克拉玛依区东彩小学新建工程项目建设费，支持建设小学项目1个，建筑面积2700平方米，项目总用地面积约47799.42平方米，总建筑面积约17728.03平方米。主要包括小学教学楼、行政综合楼、报告厅、风雨操场、田径场、操场、篮球场、排球场、门卫室、人防及设备用房、场地及配套附属设施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63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7586"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63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7586"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评价问题简要情况</w:t>
            </w:r>
          </w:p>
        </w:tc>
        <w:tc>
          <w:tcPr>
            <w:tcW w:w="75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jc w:val="lef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项目决策方面:预算编制科学性有待提升</w:t>
            </w:r>
          </w:p>
          <w:p>
            <w:pPr>
              <w:pStyle w:val="39"/>
              <w:pageBreakBefore w:val="0"/>
              <w:wordWrap/>
              <w:overflowPunct/>
              <w:topLinePunct w:val="0"/>
              <w:bidi w:val="0"/>
              <w:snapToGrid/>
              <w:spacing w:line="560" w:lineRule="exact"/>
              <w:jc w:val="left"/>
              <w:rPr>
                <w:rFonts w:hint="default" w:ascii="Times New Roman" w:hAnsi="Times New Roman" w:cs="Times New Roman"/>
                <w:highlight w:val="none"/>
              </w:rPr>
            </w:pPr>
            <w:r>
              <w:rPr>
                <w:rFonts w:hint="default" w:ascii="Times New Roman" w:hAnsi="Times New Roman" w:cs="Times New Roman"/>
                <w:highlight w:val="none"/>
                <w:lang w:val="en-US" w:eastAsia="zh-CN"/>
              </w:rPr>
              <w:t>绩效管理方面:1.项目绩效目标管理工作成熟度不足;2.项目绩效自评工作有待提高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评价问题简要建议</w:t>
            </w:r>
          </w:p>
        </w:tc>
        <w:tc>
          <w:tcPr>
            <w:tcW w:w="75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jc w:val="left"/>
              <w:rPr>
                <w:rFonts w:hint="default" w:ascii="Times New Roman" w:hAnsi="Times New Roman" w:cs="Times New Roman"/>
                <w:highlight w:val="none"/>
              </w:rPr>
            </w:pPr>
            <w:r>
              <w:rPr>
                <w:rFonts w:hint="default" w:ascii="Times New Roman" w:hAnsi="Times New Roman" w:cs="Times New Roman"/>
                <w:highlight w:val="none"/>
                <w:lang w:val="en-US" w:eastAsia="zh-CN"/>
              </w:rPr>
              <w:t>（一）项目决策方面:统一预算编制口径，加强部门间沟通与协调，加强项目前期调研和评估。</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（二）绩效管理方面:1.加强绩效目标管理，提升绩效目标编制水平;2.提高绩效自评工作监管力度，强化结果运用。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0" w:hRule="atLeast"/>
        </w:trPr>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评价结果应用建议</w:t>
            </w:r>
          </w:p>
        </w:tc>
        <w:tc>
          <w:tcPr>
            <w:tcW w:w="75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ind w:firstLine="436" w:firstLineChars="200"/>
              <w:jc w:val="lef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本项目绩效评价结果为“</w:t>
            </w:r>
            <w:r>
              <w:rPr>
                <w:rFonts w:hint="eastAsia" w:cs="Times New Roman"/>
                <w:highlight w:val="none"/>
                <w:lang w:val="en-US" w:eastAsia="zh-CN"/>
              </w:rPr>
              <w:t>优</w:t>
            </w:r>
            <w:r>
              <w:rPr>
                <w:rFonts w:hint="default" w:ascii="Times New Roman" w:hAnsi="Times New Roman" w:cs="Times New Roman"/>
                <w:highlight w:val="none"/>
                <w:lang w:val="en-US" w:eastAsia="zh-CN"/>
              </w:rPr>
              <w:t>”，从绩效管理方面来看，克拉玛依区教育局主要存在预算编制口径不一致、绩效管理工作成熟度不足等问题。因此，对本项目评价结果提出以下建议:</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 xml:space="preserve">   （一）对评价中发现的问题进行整改</w:t>
            </w:r>
          </w:p>
          <w:p>
            <w:pPr>
              <w:pStyle w:val="39"/>
              <w:pageBreakBefore w:val="0"/>
              <w:wordWrap/>
              <w:overflowPunct/>
              <w:topLinePunct w:val="0"/>
              <w:bidi w:val="0"/>
              <w:snapToGrid/>
              <w:spacing w:line="560" w:lineRule="exact"/>
              <w:ind w:firstLine="436" w:firstLineChars="200"/>
              <w:jc w:val="left"/>
              <w:rPr>
                <w:rFonts w:hint="default" w:ascii="Times New Roman" w:hAnsi="Times New Roman" w:cs="Times New Roman"/>
                <w:highlight w:val="none"/>
              </w:rPr>
            </w:pPr>
            <w:r>
              <w:rPr>
                <w:rFonts w:hint="default" w:ascii="Times New Roman" w:hAnsi="Times New Roman" w:cs="Times New Roman"/>
                <w:highlight w:val="none"/>
                <w:lang w:val="en-US" w:eastAsia="zh-CN"/>
              </w:rPr>
              <w:t>建议克拉玛依区教育局对发现的问题及时研究制定整改措施，确定整改期限，积极整改，加强制度建设，健全完善资金管理、项目管理和绩效管理等相关制度和办法，按期完成整改任务。</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 xml:space="preserve">   （二）下一年度预算安排</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 xml:space="preserve">    建议根据克拉玛依区教育局按照预算绩效管理相关要求，将本次重点项目绩效评价结果作为克拉玛依区教育局次年类似资金安排的参考依据，逐步健全绩效管理激励约束机制，促使部门履行好预算绩效管理的主体责任，促进克拉玛依区教育局的预算编制更精准更科学更完整，绩效目标设置更明确更细化更全面，切实提高财政资源配置效率和使用效率。</w:t>
            </w:r>
          </w:p>
        </w:tc>
      </w:tr>
    </w:tbl>
    <w:p>
      <w:pPr>
        <w:pStyle w:val="13"/>
        <w:keepNext w:val="0"/>
        <w:keepLines w:val="0"/>
        <w:pageBreakBefore w:val="0"/>
        <w:widowControl/>
        <w:kinsoku w:val="0"/>
        <w:wordWrap/>
        <w:overflowPunct/>
        <w:topLinePunct w:val="0"/>
        <w:autoSpaceDE w:val="0"/>
        <w:autoSpaceDN w:val="0"/>
        <w:bidi w:val="0"/>
        <w:adjustRightInd w:val="0"/>
        <w:snapToGrid/>
        <w:spacing w:before="114" w:line="560" w:lineRule="exact"/>
        <w:ind w:left="1"/>
        <w:rPr>
          <w:rFonts w:hint="default" w:ascii="Times New Roman" w:hAnsi="Times New Roman" w:eastAsia="仿宋_GB2312" w:cs="Times New Roman"/>
          <w:spacing w:val="-2"/>
          <w:highlight w:val="none"/>
        </w:rPr>
      </w:pPr>
    </w:p>
    <w:p>
      <w:pPr>
        <w:pStyle w:val="13"/>
        <w:keepNext w:val="0"/>
        <w:keepLines w:val="0"/>
        <w:pageBreakBefore w:val="0"/>
        <w:widowControl/>
        <w:kinsoku w:val="0"/>
        <w:wordWrap/>
        <w:overflowPunct/>
        <w:topLinePunct w:val="0"/>
        <w:autoSpaceDE w:val="0"/>
        <w:autoSpaceDN w:val="0"/>
        <w:bidi w:val="0"/>
        <w:adjustRightInd w:val="0"/>
        <w:snapToGrid/>
        <w:spacing w:before="114" w:line="560" w:lineRule="exact"/>
        <w:ind w:left="1"/>
        <w:rPr>
          <w:rFonts w:hint="default" w:ascii="Times New Roman" w:hAnsi="Times New Roman" w:eastAsia="仿宋_GB2312" w:cs="Times New Roman"/>
          <w:spacing w:val="-2"/>
          <w:highlight w:val="none"/>
        </w:rPr>
        <w:sectPr>
          <w:headerReference r:id="rId6" w:type="default"/>
          <w:footerReference r:id="rId7" w:type="default"/>
          <w:pgSz w:w="11906" w:h="16839"/>
          <w:pgMar w:top="403" w:right="1785" w:bottom="1338" w:left="1489" w:header="0" w:footer="1060" w:gutter="0"/>
          <w:pgNumType w:fmt="decimal"/>
          <w:cols w:space="0" w:num="1"/>
          <w:rtlGutter w:val="0"/>
          <w:docGrid w:linePitch="0" w:charSpace="0"/>
        </w:sectPr>
      </w:pPr>
    </w:p>
    <w:p>
      <w:pPr>
        <w:pStyle w:val="13"/>
        <w:keepNext w:val="0"/>
        <w:keepLines w:val="0"/>
        <w:pageBreakBefore w:val="0"/>
        <w:widowControl/>
        <w:kinsoku w:val="0"/>
        <w:wordWrap/>
        <w:overflowPunct/>
        <w:topLinePunct w:val="0"/>
        <w:autoSpaceDE w:val="0"/>
        <w:autoSpaceDN w:val="0"/>
        <w:bidi w:val="0"/>
        <w:adjustRightInd w:val="0"/>
        <w:snapToGrid/>
        <w:spacing w:before="114" w:line="560" w:lineRule="exact"/>
        <w:ind w:left="0" w:firstLine="0"/>
        <w:rPr>
          <w:rFonts w:hint="default" w:ascii="Times New Roman" w:hAnsi="Times New Roman" w:eastAsia="仿宋_GB2312" w:cs="Times New Roman"/>
          <w:spacing w:val="-2"/>
          <w:highlight w:val="none"/>
        </w:rPr>
      </w:pPr>
    </w:p>
    <w:p>
      <w:pPr>
        <w:pStyle w:val="36"/>
        <w:pageBreakBefore w:val="0"/>
        <w:widowControl/>
        <w:wordWrap/>
        <w:overflowPunct/>
        <w:topLinePunct w:val="0"/>
        <w:bidi w:val="0"/>
        <w:snapToGrid/>
        <w:spacing w:line="560" w:lineRule="exact"/>
        <w:rPr>
          <w:rFonts w:hint="default" w:ascii="Times New Roman" w:hAnsi="Times New Roman" w:eastAsia="黑体" w:cs="Times New Roman"/>
          <w:sz w:val="44"/>
          <w:szCs w:val="44"/>
          <w:highlight w:val="none"/>
        </w:rPr>
      </w:pPr>
      <w:bookmarkStart w:id="0" w:name="_Toc496333153"/>
      <w:bookmarkStart w:id="1" w:name="_Toc1915308690"/>
      <w:bookmarkStart w:id="2" w:name="_Toc714256139"/>
      <w:bookmarkStart w:id="3" w:name="_Toc690376824"/>
      <w:bookmarkStart w:id="4" w:name="_Toc749861761"/>
      <w:r>
        <w:rPr>
          <w:rFonts w:hint="default" w:ascii="Times New Roman" w:hAnsi="Times New Roman" w:eastAsia="黑体" w:cs="Times New Roman"/>
          <w:sz w:val="44"/>
          <w:szCs w:val="44"/>
          <w:highlight w:val="none"/>
        </w:rPr>
        <w:t>摘  要</w:t>
      </w:r>
      <w:bookmarkEnd w:id="0"/>
      <w:bookmarkEnd w:id="1"/>
      <w:bookmarkEnd w:id="2"/>
      <w:bookmarkEnd w:id="3"/>
      <w:bookmarkEnd w:id="4"/>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受克拉玛依市</w:t>
      </w:r>
      <w:r>
        <w:rPr>
          <w:rFonts w:hint="eastAsia" w:ascii="Times New Roman" w:hAnsi="Times New Roman" w:cs="Times New Roman"/>
          <w:highlight w:val="none"/>
          <w:lang w:val="en-US" w:eastAsia="zh-CN"/>
        </w:rPr>
        <w:t>克拉玛依区</w:t>
      </w:r>
      <w:r>
        <w:rPr>
          <w:rFonts w:hint="default" w:ascii="Times New Roman" w:hAnsi="Times New Roman" w:cs="Times New Roman"/>
          <w:highlight w:val="none"/>
        </w:rPr>
        <w:t>财政局委托，北京上计会计师事务所（普通合伙）于2024年7月14日-8月</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日对克拉玛依区教育局实施的2024年</w:t>
      </w:r>
      <w:r>
        <w:rPr>
          <w:rFonts w:hint="default" w:ascii="Times New Roman" w:hAnsi="Times New Roman" w:cs="Times New Roman"/>
          <w:highlight w:val="none"/>
          <w:lang w:val="en-US" w:eastAsia="zh-CN"/>
        </w:rPr>
        <w:t>克拉玛依市克拉玛依区东彩小学新建工程项目</w:t>
      </w:r>
      <w:r>
        <w:rPr>
          <w:rFonts w:hint="default" w:ascii="Times New Roman" w:hAnsi="Times New Roman" w:cs="Times New Roman"/>
          <w:highlight w:val="none"/>
        </w:rPr>
        <w:t>资金开展了绩效评价，评价情况如下：</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5" w:name="_Toc1994518819"/>
      <w:bookmarkStart w:id="6" w:name="_Toc383380149"/>
      <w:bookmarkStart w:id="7" w:name="_Toc69341443"/>
      <w:bookmarkStart w:id="8" w:name="_Toc1461012256"/>
      <w:bookmarkStart w:id="9" w:name="_Toc1960767947"/>
      <w:bookmarkStart w:id="10" w:name="_Toc988824824"/>
      <w:bookmarkStart w:id="11" w:name="_Toc309136227"/>
      <w:bookmarkStart w:id="12" w:name="_Toc181000096"/>
      <w:bookmarkStart w:id="13" w:name="_Toc520947159"/>
      <w:bookmarkStart w:id="14" w:name="_Toc2010298579"/>
      <w:bookmarkStart w:id="15" w:name="_Toc1044817523"/>
      <w:bookmarkStart w:id="16" w:name="_Toc1492576531"/>
      <w:bookmarkStart w:id="17" w:name="_Toc54295687"/>
      <w:bookmarkStart w:id="18" w:name="_Toc354790863"/>
      <w:r>
        <w:rPr>
          <w:rFonts w:hint="default" w:ascii="Times New Roman" w:hAnsi="Times New Roman" w:cs="Times New Roman"/>
          <w:highlight w:val="none"/>
        </w:rPr>
        <w:t>一、</w:t>
      </w:r>
      <w:bookmarkEnd w:id="5"/>
      <w:bookmarkEnd w:id="6"/>
      <w:bookmarkEnd w:id="7"/>
      <w:r>
        <w:rPr>
          <w:rFonts w:hint="default" w:ascii="Times New Roman" w:hAnsi="Times New Roman" w:cs="Times New Roman"/>
          <w:highlight w:val="none"/>
        </w:rPr>
        <w:t>项目概述</w:t>
      </w:r>
      <w:bookmarkEnd w:id="8"/>
      <w:bookmarkEnd w:id="9"/>
      <w:bookmarkEnd w:id="10"/>
      <w:bookmarkEnd w:id="11"/>
      <w:bookmarkEnd w:id="12"/>
      <w:bookmarkEnd w:id="13"/>
      <w:bookmarkEnd w:id="14"/>
      <w:bookmarkEnd w:id="15"/>
      <w:bookmarkEnd w:id="16"/>
    </w:p>
    <w:p>
      <w:pPr>
        <w:pStyle w:val="4"/>
        <w:numPr>
          <w:ilvl w:val="0"/>
          <w:numId w:val="1"/>
        </w:numPr>
        <w:bidi w:val="0"/>
        <w:rPr>
          <w:rFonts w:hint="default"/>
          <w:highlight w:val="none"/>
        </w:rPr>
      </w:pPr>
      <w:bookmarkStart w:id="19" w:name="_Toc1490322014"/>
      <w:bookmarkStart w:id="20" w:name="_Toc889625096"/>
      <w:bookmarkStart w:id="21" w:name="_Toc1231769320"/>
      <w:bookmarkStart w:id="22" w:name="_Toc977275910"/>
      <w:bookmarkStart w:id="23" w:name="_Toc268072494"/>
      <w:bookmarkStart w:id="24" w:name="_Toc1950356482"/>
      <w:bookmarkStart w:id="25" w:name="_Toc904966794"/>
      <w:bookmarkStart w:id="26" w:name="_Toc727999002"/>
      <w:bookmarkStart w:id="27" w:name="_Toc274327542"/>
      <w:bookmarkStart w:id="28" w:name="_Toc1019223243"/>
      <w:bookmarkStart w:id="29" w:name="_Toc1485495827"/>
      <w:bookmarkStart w:id="30" w:name="_Toc1805544910"/>
      <w:r>
        <w:rPr>
          <w:rFonts w:hint="eastAsia"/>
          <w:highlight w:val="none"/>
        </w:rPr>
        <w:t>项目概述</w:t>
      </w:r>
      <w:bookmarkEnd w:id="19"/>
      <w:bookmarkEnd w:id="20"/>
      <w:bookmarkEnd w:id="21"/>
      <w:bookmarkEnd w:id="22"/>
      <w:bookmarkEnd w:id="23"/>
      <w:bookmarkEnd w:id="24"/>
      <w:bookmarkEnd w:id="25"/>
      <w:bookmarkEnd w:id="26"/>
      <w:bookmarkEnd w:id="27"/>
      <w:bookmarkEnd w:id="28"/>
    </w:p>
    <w:p>
      <w:pPr>
        <w:keepNext w:val="0"/>
        <w:keepLines w:val="0"/>
        <w:pageBreakBefore w:val="0"/>
        <w:widowControl/>
        <w:kinsoku w:val="0"/>
        <w:wordWrap/>
        <w:overflowPunct/>
        <w:topLinePunct w:val="0"/>
        <w:autoSpaceDE w:val="0"/>
        <w:autoSpaceDN w:val="0"/>
        <w:bidi w:val="0"/>
        <w:adjustRightInd w:val="0"/>
        <w:snapToGrid/>
        <w:spacing w:line="560" w:lineRule="exact"/>
        <w:textAlignment w:val="baseline"/>
        <w:rPr>
          <w:rFonts w:hint="default" w:ascii="Times New Roman" w:hAnsi="Times New Roman" w:cs="Times New Roman"/>
          <w:highlight w:val="none"/>
        </w:rPr>
      </w:pPr>
      <w:r>
        <w:rPr>
          <w:rFonts w:hint="default" w:ascii="Times New Roman" w:hAnsi="Times New Roman" w:cs="Times New Roman"/>
          <w:highlight w:val="none"/>
        </w:rPr>
        <w:t>根据《国家中长期教育改革和发展规划纲要（2010-2020年）》、中共中央办公厅 国务院办公厅印发《关于深化教育体制机制改革的意见》（2017年9月24日</w:t>
      </w:r>
      <w:r>
        <w:rPr>
          <w:rFonts w:hint="eastAsia" w:ascii="Times New Roman" w:hAnsi="Times New Roman" w:cs="Times New Roman"/>
          <w:highlight w:val="none"/>
          <w:lang w:eastAsia="zh-CN"/>
        </w:rPr>
        <w:t>文号</w:t>
      </w:r>
      <w:r>
        <w:rPr>
          <w:rFonts w:hint="default" w:ascii="Times New Roman" w:hAnsi="Times New Roman" w:cs="Times New Roman"/>
          <w:highlight w:val="none"/>
        </w:rPr>
        <w:t>）、《中共中央国务院关于深化教育教学改革全面提高义务教育质量的意见》（2019年6月23日</w:t>
      </w:r>
      <w:r>
        <w:rPr>
          <w:rFonts w:hint="eastAsia" w:ascii="Times New Roman" w:hAnsi="Times New Roman" w:cs="Times New Roman"/>
          <w:highlight w:val="none"/>
          <w:lang w:eastAsia="zh-CN"/>
        </w:rPr>
        <w:t>文号</w:t>
      </w:r>
      <w:r>
        <w:rPr>
          <w:rFonts w:hint="default" w:ascii="Times New Roman" w:hAnsi="Times New Roman" w:cs="Times New Roman"/>
          <w:highlight w:val="none"/>
        </w:rPr>
        <w:t>）、《国务院办公厅关于新时代推进普通高中育人方式改革的指导意见》</w:t>
      </w:r>
      <w:r>
        <w:rPr>
          <w:rFonts w:hint="eastAsia" w:ascii="Times New Roman" w:hAnsi="Times New Roman" w:cs="Times New Roman"/>
          <w:highlight w:val="none"/>
          <w:lang w:eastAsia="zh-CN"/>
        </w:rPr>
        <w:t>（</w:t>
      </w:r>
      <w:r>
        <w:rPr>
          <w:rFonts w:hint="default" w:ascii="Times New Roman" w:hAnsi="Times New Roman" w:cs="Times New Roman"/>
          <w:highlight w:val="none"/>
        </w:rPr>
        <w:t>国办发〔2019〕29号</w:t>
      </w:r>
      <w:r>
        <w:rPr>
          <w:rFonts w:hint="eastAsia" w:ascii="Times New Roman" w:hAnsi="Times New Roman" w:cs="Times New Roman"/>
          <w:highlight w:val="none"/>
          <w:lang w:eastAsia="zh-CN"/>
        </w:rPr>
        <w:t>）</w:t>
      </w:r>
      <w:r>
        <w:rPr>
          <w:rFonts w:hint="default" w:ascii="Times New Roman" w:hAnsi="Times New Roman" w:cs="Times New Roman"/>
          <w:highlight w:val="none"/>
        </w:rPr>
        <w:t>、中共中央办公厅</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国务院办公厅印发《加快推进教育现代化实施方案（2018-2022年）》、中共中央</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国务院印发《中国教育现代化2035》、《克拉玛依市国民经济和社会发展第十四个五年规划纲要（2021-2025年）》</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《克拉玛依市“十四五”推进教育现代化加速人才培养模式变革专题研究工作方案》《克拉玛依区教育事业改革与发展“十四五”专项规划（2021-2025）》、《克拉玛依区推进义务教育优质均衡发展工作实施方案》</w:t>
      </w:r>
      <w:r>
        <w:rPr>
          <w:rFonts w:hint="eastAsia" w:ascii="Times New Roman" w:hAnsi="Times New Roman" w:cs="Times New Roman"/>
          <w:highlight w:val="none"/>
          <w:lang w:eastAsia="zh-CN"/>
        </w:rPr>
        <w:t>（</w:t>
      </w:r>
      <w:r>
        <w:rPr>
          <w:rFonts w:hint="default" w:ascii="Times New Roman" w:hAnsi="Times New Roman" w:cs="Times New Roman"/>
          <w:highlight w:val="none"/>
        </w:rPr>
        <w:t>克区政办函〔2022〕2号</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、《克拉玛依市城市总体规划（2014—2030）》、《克拉玛依市东南地区控制性详细规划》</w:t>
      </w:r>
      <w:r>
        <w:rPr>
          <w:rFonts w:hint="eastAsia" w:ascii="Times New Roman" w:hAnsi="Times New Roman" w:cs="Times New Roman"/>
          <w:highlight w:val="none"/>
          <w:lang w:eastAsia="zh-CN"/>
        </w:rPr>
        <w:t>、</w:t>
      </w:r>
      <w:r>
        <w:rPr>
          <w:rFonts w:hint="default" w:ascii="Times New Roman" w:hAnsi="Times New Roman" w:cs="Times New Roman"/>
          <w:highlight w:val="none"/>
        </w:rPr>
        <w:t>《南新湿地二期周边区域控制性详细规划》</w:t>
      </w:r>
      <w:r>
        <w:rPr>
          <w:rFonts w:hint="eastAsia" w:ascii="Times New Roman" w:hAnsi="Times New Roman" w:cs="Times New Roman"/>
          <w:highlight w:val="none"/>
          <w:lang w:eastAsia="zh-CN"/>
        </w:rPr>
        <w:t>、</w:t>
      </w:r>
      <w:r>
        <w:rPr>
          <w:rFonts w:hint="default" w:ascii="Times New Roman" w:hAnsi="Times New Roman" w:cs="Times New Roman"/>
          <w:highlight w:val="none"/>
        </w:rPr>
        <w:t>《中小学校设计规范》（GB50099-2011）</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《克拉玛依市中小学办学条件标准纲要》、“克拉玛依市 2022 年国民经济和社会发展统计公报”等各项工作要求以及主要发展目标，牢牢把握学前教育正确发展方向</w:t>
      </w:r>
      <w:r>
        <w:rPr>
          <w:rFonts w:hint="eastAsia" w:ascii="Times New Roman" w:hAnsi="Times New Roman" w:cs="Times New Roman"/>
          <w:highlight w:val="none"/>
          <w:lang w:eastAsia="zh-CN"/>
        </w:rPr>
        <w:t>，</w:t>
      </w:r>
      <w:r>
        <w:rPr>
          <w:rFonts w:hint="default" w:ascii="Times New Roman" w:hAnsi="Times New Roman" w:cs="Times New Roman"/>
          <w:highlight w:val="none"/>
        </w:rPr>
        <w:t>完善学前教育体制机制，健全学前教育政策保障体系，推进学前教育普及普惠安全优质发展，满足人民群众对幼有所育的美好期盼，为培养德智体美劳全面发展的社会主义建设者和接班人奠定坚实基础。</w:t>
      </w:r>
    </w:p>
    <w:bookmarkEnd w:id="29"/>
    <w:bookmarkEnd w:id="30"/>
    <w:p>
      <w:pPr>
        <w:pStyle w:val="4"/>
        <w:numPr>
          <w:ilvl w:val="0"/>
          <w:numId w:val="1"/>
        </w:numPr>
        <w:bidi w:val="0"/>
        <w:rPr>
          <w:rFonts w:hint="default"/>
          <w:highlight w:val="none"/>
        </w:rPr>
      </w:pPr>
      <w:bookmarkStart w:id="31" w:name="_Toc1121287114"/>
      <w:bookmarkStart w:id="32" w:name="_Toc2123091932"/>
      <w:bookmarkStart w:id="33" w:name="_Toc1147838058"/>
      <w:bookmarkStart w:id="34" w:name="_Toc1740314337"/>
      <w:bookmarkStart w:id="35" w:name="_Toc73715252"/>
      <w:bookmarkStart w:id="36" w:name="_Toc1264889655"/>
      <w:bookmarkStart w:id="37" w:name="_Toc604604160"/>
      <w:bookmarkStart w:id="38" w:name="_Toc451005166"/>
      <w:bookmarkStart w:id="39" w:name="_Toc1755476629"/>
      <w:bookmarkStart w:id="40" w:name="_Toc1297718704"/>
      <w:r>
        <w:rPr>
          <w:rFonts w:hint="eastAsia"/>
          <w:highlight w:val="none"/>
        </w:rPr>
        <w:t>项目实施情况</w:t>
      </w:r>
      <w:bookmarkEnd w:id="31"/>
      <w:bookmarkEnd w:id="32"/>
      <w:bookmarkEnd w:id="33"/>
      <w:bookmarkEnd w:id="34"/>
      <w:bookmarkEnd w:id="35"/>
      <w:bookmarkEnd w:id="36"/>
      <w:bookmarkEnd w:id="37"/>
      <w:bookmarkEnd w:id="38"/>
      <w:bookmarkEnd w:id="39"/>
      <w:bookmarkEnd w:id="40"/>
    </w:p>
    <w:p>
      <w:pPr>
        <w:pageBreakBefore w:val="0"/>
        <w:wordWrap/>
        <w:overflowPunct/>
        <w:topLinePunct w:val="0"/>
        <w:bidi w:val="0"/>
        <w:snapToGrid/>
        <w:spacing w:line="560" w:lineRule="exact"/>
        <w:rPr>
          <w:rFonts w:hint="default" w:ascii="Times New Roman" w:hAnsi="Times New Roman" w:eastAsia="仿宋_GB2312" w:cs="Times New Roman"/>
          <w:highlight w:val="none"/>
          <w:lang w:val="en-US" w:eastAsia="zh-CN"/>
        </w:rPr>
      </w:pPr>
      <w:r>
        <w:rPr>
          <w:rFonts w:hint="default" w:ascii="Times New Roman" w:hAnsi="Times New Roman" w:cs="Times New Roman"/>
          <w:highlight w:val="none"/>
        </w:rPr>
        <w:t>本工程建设位于克拉玛依区南三东路</w:t>
      </w:r>
      <w:r>
        <w:rPr>
          <w:rFonts w:hint="eastAsia" w:ascii="Times New Roman" w:hAnsi="Times New Roman" w:cs="Times New Roman"/>
          <w:highlight w:val="none"/>
          <w:lang w:eastAsia="zh-CN"/>
        </w:rPr>
        <w:t>、</w:t>
      </w:r>
      <w:r>
        <w:rPr>
          <w:rFonts w:hint="default" w:ascii="Times New Roman" w:hAnsi="Times New Roman" w:cs="Times New Roman"/>
          <w:highlight w:val="none"/>
        </w:rPr>
        <w:t>银杉路以西</w:t>
      </w:r>
      <w:r>
        <w:rPr>
          <w:rFonts w:hint="eastAsia" w:ascii="Times New Roman" w:hAnsi="Times New Roman" w:cs="Times New Roman"/>
          <w:highlight w:val="none"/>
          <w:lang w:eastAsia="zh-CN"/>
        </w:rPr>
        <w:t>、</w:t>
      </w:r>
      <w:r>
        <w:rPr>
          <w:rFonts w:hint="default" w:ascii="Times New Roman" w:hAnsi="Times New Roman" w:cs="Times New Roman"/>
          <w:highlight w:val="none"/>
        </w:rPr>
        <w:t>东彩小区金桂园西北侧。规划用地面积47386.53m²</w:t>
      </w:r>
      <w:r>
        <w:rPr>
          <w:rFonts w:hint="eastAsia" w:ascii="Times New Roman" w:hAnsi="Times New Roman" w:cs="Times New Roman"/>
          <w:highlight w:val="none"/>
          <w:lang w:eastAsia="zh-CN"/>
        </w:rPr>
        <w:t>，</w:t>
      </w:r>
      <w:r>
        <w:rPr>
          <w:rFonts w:hint="default" w:ascii="Times New Roman" w:hAnsi="Times New Roman" w:cs="Times New Roman"/>
          <w:highlight w:val="none"/>
        </w:rPr>
        <w:t>总建筑面积17726.03平方米。主要包括小学教学楼、行政综合楼、报告厅、风雨操场、田径场、操场、篮球场、排球场、门卫室、人防及设备用房、场地及配套附属设施等。1#教学楼及风雨操场面积为10633.54平方米（包括：地下面积1818.90平方米，地上面积8814.64平方米，共5层，含图书室、地下室、体育馆），2#教学楼及综合楼建筑面积为7008.42平方米（包括：地上面积7008.42平方米，共5层，含报告厅、空中连廊），门卫室87.33平方米</w:t>
      </w:r>
      <w:r>
        <w:rPr>
          <w:rFonts w:hint="eastAsia" w:ascii="Times New Roman" w:hAnsi="Times New Roman" w:cs="Times New Roman"/>
          <w:highlight w:val="none"/>
          <w:lang w:val="en-US" w:eastAsia="zh-CN"/>
        </w:rPr>
        <w:t>等。</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2024年底项目主体结构全部施工完成，二次结构施工完成60%。场地外配套施工完成50%。</w:t>
      </w:r>
    </w:p>
    <w:p>
      <w:pPr>
        <w:pageBreakBefore w:val="0"/>
        <w:wordWrap/>
        <w:overflowPunct/>
        <w:topLinePunct w:val="0"/>
        <w:bidi w:val="0"/>
        <w:snapToGrid/>
        <w:spacing w:line="560" w:lineRule="exact"/>
        <w:rPr>
          <w:rFonts w:hint="default" w:ascii="Times New Roman" w:hAnsi="Times New Roman" w:eastAsia="仿宋_GB2312" w:cs="Times New Roman"/>
          <w:b w:val="0"/>
          <w:highlight w:val="none"/>
        </w:rPr>
      </w:pPr>
      <w:r>
        <w:rPr>
          <w:rFonts w:hint="default" w:ascii="Times New Roman" w:hAnsi="Times New Roman" w:cs="Times New Roman"/>
          <w:highlight w:val="none"/>
        </w:rPr>
        <w:t>截至2025年8月，施工整体进度完成97.8%。其中，人防工程完成90.5%，1#教学楼完成90.8%，2#教学楼完成99.8%，场地及外配套完成91.8%</w:t>
      </w:r>
      <w:r>
        <w:rPr>
          <w:rFonts w:hint="eastAsia" w:ascii="Times New Roman" w:hAnsi="Times New Roman" w:cs="Times New Roman"/>
          <w:highlight w:val="none"/>
          <w:lang w:eastAsia="zh-CN"/>
        </w:rPr>
        <w:t>。</w:t>
      </w:r>
      <w:r>
        <w:rPr>
          <w:rFonts w:hint="default" w:ascii="Times New Roman" w:hAnsi="Times New Roman" w:cs="Times New Roman"/>
          <w:highlight w:val="none"/>
        </w:rPr>
        <w:t>2#楼家政已进场进行卫生全面清理，准备环境检测工作。</w:t>
      </w:r>
    </w:p>
    <w:p>
      <w:pPr>
        <w:pStyle w:val="4"/>
        <w:numPr>
          <w:ilvl w:val="0"/>
          <w:numId w:val="1"/>
        </w:numPr>
        <w:bidi w:val="0"/>
        <w:rPr>
          <w:rFonts w:hint="eastAsia"/>
          <w:highlight w:val="none"/>
        </w:rPr>
      </w:pPr>
      <w:bookmarkStart w:id="41" w:name="_Toc1981659692"/>
      <w:bookmarkStart w:id="42" w:name="_Toc1836983163"/>
      <w:bookmarkStart w:id="43" w:name="_Toc735789819"/>
      <w:bookmarkStart w:id="44" w:name="_Toc217822572"/>
      <w:bookmarkStart w:id="45" w:name="_Toc914339196"/>
      <w:bookmarkStart w:id="46" w:name="_Toc17877470"/>
      <w:bookmarkStart w:id="47" w:name="_Toc1059809932"/>
      <w:bookmarkStart w:id="48" w:name="_Toc1574034699"/>
      <w:bookmarkStart w:id="49" w:name="_Toc868639805"/>
      <w:bookmarkStart w:id="50" w:name="_Toc1303522573"/>
      <w:r>
        <w:rPr>
          <w:rFonts w:hint="eastAsia"/>
          <w:highlight w:val="none"/>
        </w:rPr>
        <w:t>绩效目标</w:t>
      </w:r>
      <w:bookmarkEnd w:id="41"/>
      <w:bookmarkEnd w:id="42"/>
      <w:bookmarkEnd w:id="43"/>
      <w:bookmarkEnd w:id="44"/>
      <w:bookmarkEnd w:id="45"/>
      <w:bookmarkEnd w:id="46"/>
      <w:bookmarkEnd w:id="47"/>
      <w:bookmarkEnd w:id="48"/>
      <w:bookmarkEnd w:id="49"/>
      <w:bookmarkEnd w:id="50"/>
    </w:p>
    <w:p>
      <w:pPr>
        <w:pageBreakBefore w:val="0"/>
        <w:numPr>
          <w:ilvl w:val="0"/>
          <w:numId w:val="2"/>
        </w:numPr>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总目标</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eastAsia" w:ascii="Times New Roman" w:hAnsi="Times New Roman" w:cs="Times New Roman"/>
          <w:highlight w:val="none"/>
          <w:lang w:eastAsia="zh-CN"/>
        </w:rPr>
        <w:t>为</w:t>
      </w:r>
      <w:r>
        <w:rPr>
          <w:rFonts w:hint="default" w:ascii="Times New Roman" w:hAnsi="Times New Roman" w:cs="Times New Roman"/>
          <w:highlight w:val="none"/>
        </w:rPr>
        <w:t>加强对克拉玛依东南片区的教育基础设施建设，完善东南片区及其周边区域的配套公共教育服务设施，提供容量适当、功能完备、设施齐全的教学场所环境，更好的满足东彩小区及其周边居住区的适龄学生就近入学的需求</w:t>
      </w:r>
      <w:r>
        <w:rPr>
          <w:rFonts w:hint="eastAsia" w:ascii="Times New Roman" w:hAnsi="Times New Roman" w:cs="Times New Roman"/>
          <w:highlight w:val="none"/>
          <w:lang w:eastAsia="zh-CN"/>
        </w:rPr>
        <w:t>，</w:t>
      </w:r>
      <w:r>
        <w:rPr>
          <w:rFonts w:hint="default" w:ascii="Times New Roman" w:hAnsi="Times New Roman" w:cs="Times New Roman"/>
          <w:highlight w:val="none"/>
        </w:rPr>
        <w:t>从而进一步提升我市教育转型变革成果、加速推进教育现代化进程，统筹推进克拉玛依市十四五教育事业的发展，增强公共教育保障能力，提升教育管理服务水平。项目建成后，克拉玛依区东彩小学主要负责运行管理工作，克拉玛依区教育局、克拉玛依区财政局负责项目运营资金的执行监督、绩效评。</w:t>
      </w:r>
    </w:p>
    <w:p>
      <w:pPr>
        <w:pageBreakBefore w:val="0"/>
        <w:numPr>
          <w:ilvl w:val="0"/>
          <w:numId w:val="2"/>
        </w:numPr>
        <w:wordWrap/>
        <w:overflowPunct/>
        <w:topLinePunct w:val="0"/>
        <w:bidi w:val="0"/>
        <w:snapToGrid/>
        <w:spacing w:line="560" w:lineRule="exact"/>
        <w:ind w:left="0" w:leftChars="0" w:firstLine="640" w:firstLineChars="200"/>
        <w:rPr>
          <w:rFonts w:hint="default" w:ascii="Times New Roman" w:hAnsi="Times New Roman" w:cs="Times New Roman"/>
          <w:highlight w:val="none"/>
        </w:rPr>
      </w:pPr>
      <w:r>
        <w:rPr>
          <w:rFonts w:hint="eastAsia" w:ascii="Times New Roman" w:hAnsi="Times New Roman" w:cs="Times New Roman"/>
          <w:highlight w:val="none"/>
          <w:lang w:eastAsia="zh-CN"/>
        </w:rPr>
        <w:t>年度绩效</w:t>
      </w:r>
      <w:r>
        <w:rPr>
          <w:rFonts w:hint="default" w:ascii="Times New Roman" w:hAnsi="Times New Roman" w:cs="Times New Roman"/>
          <w:highlight w:val="none"/>
        </w:rPr>
        <w:t>目标</w:t>
      </w:r>
    </w:p>
    <w:p>
      <w:pPr>
        <w:pageBreakBefore w:val="0"/>
        <w:wordWrap/>
        <w:overflowPunct/>
        <w:topLinePunct w:val="0"/>
        <w:bidi w:val="0"/>
        <w:snapToGrid/>
        <w:spacing w:line="560" w:lineRule="exact"/>
        <w:rPr>
          <w:rFonts w:hint="default" w:ascii="Times New Roman" w:hAnsi="Times New Roman" w:eastAsia="仿宋_GB2312" w:cs="Times New Roman"/>
          <w:highlight w:val="none"/>
          <w:lang w:val="en-US" w:eastAsia="zh-CN"/>
        </w:rPr>
      </w:pPr>
      <w:r>
        <w:rPr>
          <w:rFonts w:hint="default" w:ascii="Times New Roman" w:hAnsi="Times New Roman" w:cs="Times New Roman"/>
          <w:highlight w:val="none"/>
          <w:lang w:val="en-US" w:eastAsia="zh-CN"/>
        </w:rPr>
        <w:t>根据克拉玛依区教育局提供的《债券项目绩效目标申报表 （东彩小学）》，本项目2024年项目支出绩效目标表如下：</w:t>
      </w:r>
    </w:p>
    <w:tbl>
      <w:tblPr>
        <w:tblStyle w:val="21"/>
        <w:tblW w:w="0" w:type="auto"/>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4"/>
        <w:gridCol w:w="434"/>
        <w:gridCol w:w="2126"/>
        <w:gridCol w:w="2661"/>
        <w:gridCol w:w="27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债券项目绩效目标申报表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 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9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项目名称</w:t>
            </w: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克拉玛依市克拉玛依区东彩小学新建工程</w:t>
            </w:r>
            <w:r>
              <w:rPr>
                <w:rFonts w:hint="eastAsia" w:ascii="Times New Roman" w:hAnsi="Times New Roman" w:cs="Times New Roman"/>
                <w:highlight w:val="none"/>
                <w:lang w:val="en-US" w:eastAsia="zh-CN"/>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9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项目单位</w:t>
            </w: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克拉玛依区教育局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9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项目资金（万元）</w:t>
            </w: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项目总投资：12100.99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年度计划投资：5000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其中：财政拨款: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债券资金:5000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 xml:space="preserve">             其他资金：</w:t>
            </w:r>
            <w:r>
              <w:rPr>
                <w:rFonts w:hint="eastAsia" w:ascii="Times New Roman" w:hAnsi="Times New Roman" w:cs="Times New Roman"/>
                <w:highlight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项目目标</w:t>
            </w:r>
          </w:p>
        </w:tc>
        <w:tc>
          <w:tcPr>
            <w:tcW w:w="33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项目总体目标</w:t>
            </w:r>
          </w:p>
        </w:tc>
        <w:tc>
          <w:tcPr>
            <w:tcW w:w="4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3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2024年新增一般债券资金5000万元，按照政府债券资金管理要求规范管理使用，于2024年12月内使用完毕。</w:t>
            </w:r>
          </w:p>
        </w:tc>
        <w:tc>
          <w:tcPr>
            <w:tcW w:w="47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2024年新增一般债券资金5000万元，按照政府债券资金管理要求规范管理使用，于2024年12月内使用完毕。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3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7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3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7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2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w:t>
            </w: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新建（改扩建）学校数量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主城区普惠性中小学校覆盖率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新建或改造校舍质量达标率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政府债券资金规范管理使用率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政府债券资金三个月内形成支出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项目效益</w:t>
            </w: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经济效益指标</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义务教育服务能力、水平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显著增强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义务教育关注度、社会影响力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稳步提升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满意度</w:t>
            </w: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满意度指标</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师生满意度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家长满意度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≥85%</w:t>
            </w:r>
          </w:p>
        </w:tc>
      </w:tr>
    </w:tbl>
    <w:p>
      <w:pPr>
        <w:pageBreakBefore w:val="0"/>
        <w:wordWrap/>
        <w:overflowPunct/>
        <w:topLinePunct w:val="0"/>
        <w:bidi w:val="0"/>
        <w:snapToGrid/>
        <w:spacing w:line="560" w:lineRule="exact"/>
        <w:ind w:left="0" w:leftChars="0" w:firstLine="0" w:firstLineChars="0"/>
        <w:rPr>
          <w:rFonts w:hint="default" w:ascii="Times New Roman" w:hAnsi="Times New Roman" w:eastAsia="仿宋_GB2312" w:cs="Times New Roman"/>
          <w:highlight w:val="none"/>
        </w:rPr>
      </w:pPr>
    </w:p>
    <w:p>
      <w:pPr>
        <w:pStyle w:val="3"/>
        <w:pageBreakBefore w:val="0"/>
        <w:numPr>
          <w:ilvl w:val="0"/>
          <w:numId w:val="3"/>
        </w:numPr>
        <w:wordWrap/>
        <w:overflowPunct/>
        <w:topLinePunct w:val="0"/>
        <w:bidi w:val="0"/>
        <w:snapToGrid/>
        <w:spacing w:line="560" w:lineRule="exact"/>
        <w:rPr>
          <w:rFonts w:hint="default" w:ascii="Times New Roman" w:hAnsi="Times New Roman" w:cs="Times New Roman"/>
          <w:highlight w:val="none"/>
        </w:rPr>
      </w:pPr>
      <w:bookmarkStart w:id="51" w:name="_Toc635370329"/>
      <w:bookmarkStart w:id="52" w:name="_Toc996158906"/>
      <w:bookmarkStart w:id="53" w:name="_Toc1823201364"/>
      <w:bookmarkStart w:id="54" w:name="_Toc2053372887"/>
      <w:bookmarkStart w:id="55" w:name="_Toc1208648507"/>
      <w:bookmarkStart w:id="56" w:name="_Toc1631833116"/>
      <w:bookmarkStart w:id="57" w:name="_Toc1966411357"/>
      <w:bookmarkStart w:id="58" w:name="_Toc1951111269"/>
      <w:bookmarkStart w:id="59" w:name="_Toc2097622347"/>
      <w:bookmarkStart w:id="60" w:name="_Toc430562121"/>
      <w:r>
        <w:rPr>
          <w:rFonts w:hint="default" w:ascii="Times New Roman" w:hAnsi="Times New Roman" w:cs="Times New Roman"/>
          <w:highlight w:val="none"/>
        </w:rPr>
        <w:t>绩效评价情况</w:t>
      </w:r>
      <w:bookmarkEnd w:id="17"/>
      <w:bookmarkEnd w:id="18"/>
      <w:bookmarkEnd w:id="51"/>
      <w:bookmarkEnd w:id="52"/>
      <w:bookmarkEnd w:id="53"/>
      <w:bookmarkEnd w:id="54"/>
      <w:bookmarkEnd w:id="55"/>
      <w:bookmarkEnd w:id="56"/>
      <w:bookmarkEnd w:id="57"/>
      <w:bookmarkEnd w:id="58"/>
      <w:bookmarkEnd w:id="59"/>
      <w:bookmarkEnd w:id="60"/>
    </w:p>
    <w:p>
      <w:pPr>
        <w:pStyle w:val="4"/>
        <w:bidi w:val="0"/>
        <w:rPr>
          <w:rFonts w:hint="eastAsia"/>
          <w:highlight w:val="none"/>
          <w:lang w:eastAsia="zh-CN"/>
        </w:rPr>
      </w:pPr>
      <w:bookmarkStart w:id="61" w:name="_Toc251808393"/>
      <w:bookmarkStart w:id="62" w:name="_Toc101165705"/>
      <w:bookmarkStart w:id="63" w:name="_Toc1380426619"/>
      <w:bookmarkStart w:id="64" w:name="_Toc660221130"/>
      <w:bookmarkStart w:id="65" w:name="_Toc975904519"/>
      <w:bookmarkStart w:id="66" w:name="_Toc1585160904"/>
      <w:bookmarkStart w:id="67" w:name="_Toc705524775"/>
      <w:bookmarkStart w:id="68" w:name="_Toc1647236877"/>
      <w:bookmarkStart w:id="69" w:name="_Toc707640176"/>
      <w:r>
        <w:rPr>
          <w:rFonts w:hint="eastAsia"/>
          <w:highlight w:val="none"/>
          <w:lang w:eastAsia="zh-CN"/>
        </w:rPr>
        <w:t>（</w:t>
      </w:r>
      <w:r>
        <w:rPr>
          <w:rFonts w:hint="eastAsia"/>
          <w:highlight w:val="none"/>
          <w:lang w:val="en-US" w:eastAsia="zh-CN"/>
        </w:rPr>
        <w:t>一</w:t>
      </w:r>
      <w:r>
        <w:rPr>
          <w:rFonts w:hint="eastAsia"/>
          <w:highlight w:val="none"/>
          <w:lang w:eastAsia="zh-CN"/>
        </w:rPr>
        <w:t>）评价结论</w:t>
      </w:r>
      <w:bookmarkEnd w:id="61"/>
      <w:bookmarkEnd w:id="62"/>
      <w:bookmarkEnd w:id="63"/>
      <w:bookmarkEnd w:id="64"/>
      <w:bookmarkEnd w:id="65"/>
      <w:bookmarkEnd w:id="66"/>
      <w:bookmarkEnd w:id="67"/>
      <w:bookmarkEnd w:id="68"/>
      <w:bookmarkEnd w:id="69"/>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项目绩效评价工作组通过研究、论证绩效评价指标体系及评分标准，采取数据采集和访谈的方式，对东彩小学项目进行客观评价，该项目最终评价得分：</w:t>
      </w:r>
      <w:r>
        <w:rPr>
          <w:rFonts w:hint="default" w:ascii="Times New Roman" w:hAnsi="Times New Roman" w:eastAsia="仿宋_GB2312" w:cs="Times New Roman"/>
          <w:highlight w:val="none"/>
          <w:lang w:val="en-US" w:eastAsia="zh-CN"/>
        </w:rPr>
        <w:t>9</w:t>
      </w:r>
      <w:r>
        <w:rPr>
          <w:rFonts w:hint="eastAsia" w:ascii="Times New Roman" w:hAnsi="Times New Roman" w:eastAsia="仿宋_GB2312" w:cs="Times New Roman"/>
          <w:highlight w:val="none"/>
          <w:lang w:val="en-US" w:eastAsia="zh-CN"/>
        </w:rPr>
        <w:t>9</w:t>
      </w:r>
      <w:r>
        <w:rPr>
          <w:rFonts w:hint="default" w:ascii="Times New Roman" w:hAnsi="Times New Roman" w:eastAsia="仿宋_GB2312" w:cs="Times New Roman"/>
          <w:highlight w:val="none"/>
        </w:rPr>
        <w:t>分，评价等级：“</w:t>
      </w:r>
      <w:r>
        <w:rPr>
          <w:rFonts w:hint="default" w:ascii="Times New Roman" w:hAnsi="Times New Roman" w:eastAsia="仿宋_GB2312" w:cs="Times New Roman"/>
          <w:highlight w:val="none"/>
          <w:lang w:val="en-US" w:eastAsia="zh-CN"/>
        </w:rPr>
        <w:t>优</w:t>
      </w:r>
      <w:r>
        <w:rPr>
          <w:rFonts w:hint="default" w:ascii="Times New Roman" w:hAnsi="Times New Roman" w:eastAsia="仿宋_GB2312" w:cs="Times New Roman"/>
          <w:highlight w:val="none"/>
        </w:rPr>
        <w:t>”。</w:t>
      </w:r>
    </w:p>
    <w:p>
      <w:pPr>
        <w:pStyle w:val="4"/>
        <w:numPr>
          <w:ilvl w:val="0"/>
          <w:numId w:val="4"/>
        </w:numPr>
        <w:bidi w:val="0"/>
        <w:rPr>
          <w:rFonts w:hint="eastAsia"/>
          <w:highlight w:val="none"/>
          <w:lang w:val="en-US" w:eastAsia="zh-CN"/>
        </w:rPr>
      </w:pPr>
      <w:bookmarkStart w:id="70" w:name="_Toc1497678338"/>
      <w:bookmarkStart w:id="71" w:name="_Toc1600876561"/>
      <w:bookmarkStart w:id="72" w:name="_Toc117188846"/>
      <w:bookmarkStart w:id="73" w:name="_Toc1694638694"/>
      <w:bookmarkStart w:id="74" w:name="_Toc1898498262"/>
      <w:bookmarkStart w:id="75" w:name="_Toc288527861"/>
      <w:bookmarkStart w:id="76" w:name="_Toc1632439158"/>
      <w:bookmarkStart w:id="77" w:name="_Toc544000946"/>
      <w:bookmarkStart w:id="78" w:name="_Toc1564346992"/>
      <w:r>
        <w:rPr>
          <w:rFonts w:hint="eastAsia"/>
          <w:highlight w:val="none"/>
          <w:lang w:val="en-US" w:eastAsia="zh-CN"/>
        </w:rPr>
        <w:t>预算执行情况</w:t>
      </w:r>
      <w:bookmarkEnd w:id="70"/>
      <w:bookmarkEnd w:id="71"/>
      <w:bookmarkEnd w:id="72"/>
      <w:bookmarkEnd w:id="73"/>
      <w:bookmarkEnd w:id="74"/>
      <w:bookmarkEnd w:id="75"/>
      <w:bookmarkEnd w:id="76"/>
      <w:bookmarkEnd w:id="77"/>
      <w:bookmarkEnd w:id="78"/>
    </w:p>
    <w:p>
      <w:pPr>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该项目全年预算数5000万元，截止2024年12月31日，实际收到预算资金5000万元，资金到位率100％。实际支出资金5000万元，预算执行率100％。</w:t>
      </w:r>
    </w:p>
    <w:p>
      <w:pPr>
        <w:pStyle w:val="4"/>
        <w:numPr>
          <w:ilvl w:val="0"/>
          <w:numId w:val="4"/>
        </w:numPr>
        <w:bidi w:val="0"/>
        <w:rPr>
          <w:rFonts w:hint="eastAsia"/>
          <w:highlight w:val="none"/>
          <w:lang w:val="en-US" w:eastAsia="zh-CN"/>
        </w:rPr>
      </w:pPr>
      <w:bookmarkStart w:id="79" w:name="_Toc1864403544"/>
      <w:bookmarkStart w:id="80" w:name="_Toc109747464"/>
      <w:bookmarkStart w:id="81" w:name="_Toc269684901"/>
      <w:bookmarkStart w:id="82" w:name="_Toc153854434"/>
      <w:bookmarkStart w:id="83" w:name="_Toc337604323"/>
      <w:bookmarkStart w:id="84" w:name="_Toc748262308"/>
      <w:bookmarkStart w:id="85" w:name="_Toc1186014143"/>
      <w:bookmarkStart w:id="86" w:name="_Toc350430423"/>
      <w:bookmarkStart w:id="87" w:name="_Toc824000279"/>
      <w:r>
        <w:rPr>
          <w:rFonts w:hint="eastAsia"/>
          <w:highlight w:val="none"/>
          <w:lang w:val="en-US" w:eastAsia="zh-CN"/>
        </w:rPr>
        <w:t>项目绩效情况</w:t>
      </w:r>
      <w:bookmarkEnd w:id="79"/>
      <w:bookmarkEnd w:id="80"/>
      <w:bookmarkEnd w:id="81"/>
      <w:bookmarkEnd w:id="82"/>
      <w:bookmarkEnd w:id="83"/>
      <w:bookmarkEnd w:id="84"/>
      <w:bookmarkEnd w:id="85"/>
      <w:bookmarkEnd w:id="86"/>
      <w:bookmarkEnd w:id="87"/>
    </w:p>
    <w:p>
      <w:pPr>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底项目主体结构全部施工完成，二次结构施工完成60%。场地外配套施工完成50%。截至2025年8月，施工整体进度完成97.8%。其中，人防工程完成90.5%，1#教学楼完成90.8%，2#教学楼完成99.8%，场地及外配套完成91.8%。2#楼家政已进场进行卫生全面清理，准备环境检测工作。项目预算执行率100％，项目预期绩效目标及各项具体指标基本达成。</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88" w:name="_Toc1849833416"/>
      <w:bookmarkStart w:id="89" w:name="_Toc1984658322"/>
      <w:bookmarkStart w:id="90" w:name="_Toc1998133297"/>
      <w:bookmarkStart w:id="91" w:name="_Toc1403635937"/>
      <w:bookmarkStart w:id="92" w:name="_Toc1096470631"/>
      <w:bookmarkStart w:id="93" w:name="_Toc396489947"/>
      <w:bookmarkStart w:id="94" w:name="_Toc1283959287"/>
      <w:bookmarkStart w:id="95" w:name="_Toc380373724"/>
      <w:bookmarkStart w:id="96" w:name="_Toc464061287"/>
      <w:bookmarkStart w:id="97" w:name="_Toc261161250"/>
      <w:r>
        <w:rPr>
          <w:rFonts w:hint="default" w:ascii="Times New Roman" w:hAnsi="Times New Roman" w:cs="Times New Roman"/>
          <w:highlight w:val="none"/>
        </w:rPr>
        <w:t>三、</w:t>
      </w:r>
      <w:bookmarkEnd w:id="88"/>
      <w:r>
        <w:rPr>
          <w:rFonts w:hint="default" w:ascii="Times New Roman" w:hAnsi="Times New Roman" w:cs="Times New Roman"/>
          <w:highlight w:val="none"/>
          <w:lang w:eastAsia="zh-CN"/>
        </w:rPr>
        <w:t>经验、问题和建议</w:t>
      </w:r>
      <w:bookmarkEnd w:id="89"/>
      <w:bookmarkEnd w:id="90"/>
      <w:bookmarkEnd w:id="91"/>
      <w:bookmarkEnd w:id="92"/>
      <w:bookmarkEnd w:id="93"/>
      <w:bookmarkEnd w:id="94"/>
      <w:bookmarkEnd w:id="95"/>
      <w:bookmarkEnd w:id="96"/>
      <w:bookmarkEnd w:id="97"/>
    </w:p>
    <w:p>
      <w:pPr>
        <w:pStyle w:val="4"/>
        <w:bidi w:val="0"/>
        <w:rPr>
          <w:rFonts w:hint="eastAsia"/>
          <w:highlight w:val="none"/>
          <w:lang w:val="en-US" w:eastAsia="zh-CN"/>
        </w:rPr>
      </w:pPr>
      <w:bookmarkStart w:id="98" w:name="_Toc2028037929"/>
      <w:bookmarkStart w:id="99" w:name="_Toc824720310"/>
      <w:bookmarkStart w:id="100" w:name="_Toc801330864"/>
      <w:bookmarkStart w:id="101" w:name="_Toc164782588"/>
      <w:bookmarkStart w:id="102" w:name="_Toc1436412650"/>
      <w:bookmarkStart w:id="103" w:name="_Toc1588051553"/>
      <w:bookmarkStart w:id="104" w:name="_Toc277050893"/>
      <w:bookmarkStart w:id="105" w:name="_Toc2029845796"/>
      <w:bookmarkStart w:id="106" w:name="_Toc1964928352"/>
      <w:bookmarkStart w:id="107" w:name="_Toc1029465093"/>
      <w:r>
        <w:rPr>
          <w:rFonts w:hint="eastAsia"/>
          <w:highlight w:val="none"/>
        </w:rPr>
        <w:t>（一）</w:t>
      </w:r>
      <w:r>
        <w:rPr>
          <w:rFonts w:hint="eastAsia"/>
          <w:highlight w:val="none"/>
          <w:lang w:val="en-US" w:eastAsia="zh-CN"/>
        </w:rPr>
        <w:t>主要经验及做法</w:t>
      </w:r>
      <w:bookmarkEnd w:id="98"/>
      <w:bookmarkEnd w:id="99"/>
      <w:bookmarkEnd w:id="100"/>
      <w:bookmarkEnd w:id="101"/>
      <w:bookmarkEnd w:id="102"/>
      <w:bookmarkEnd w:id="103"/>
      <w:bookmarkEnd w:id="104"/>
      <w:bookmarkEnd w:id="105"/>
      <w:bookmarkEnd w:id="106"/>
    </w:p>
    <w:bookmarkEnd w:id="107"/>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在推动东彩小学项目建设过程中，我局着力强化绩效导向与全过程监管，形成以下核心经验做法：</w:t>
      </w:r>
    </w:p>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强化源头管控，规划论证前置： 严把项目入口关，指导并联合相关部门对东彩小学建设规划方案进行多轮次联合论证与审核，确保项目设计科学、预算精准、目标明确，从源头上提升项目可行性与绩效预期。</w:t>
      </w:r>
    </w:p>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硬化过程监控，资金安全优先： 一是严控支付节点，严格执行“按进度、凭验收、后拨付”原则，确保财政资金拨付与项目实际进展、质量达标紧密挂钩，有效防范资金挪用、挤占风险。二是实施动态监控，联合教育主管部门建立定期巡查与不定期抽查机制，对照项目管理规范和预算执行要求，实时掌握建设进度、质量及资金流向，及时纠偏。</w:t>
      </w:r>
    </w:p>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深化协同监管，凝聚监督合力： 主动协调纪检、监察、审计等职能部门，将财政监督嵌入项目事前论证审核、事中跟踪检查、事后绩效评估全链条。推动监管“关口前移”，变被动的事后检查为主动的全过程监督，构建多部门联动、多环节覆盖的立体化监管格局，实现问题早发现、早处置。</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仿宋_GB2312" w:hAnsi="仿宋_GB2312" w:eastAsia="仿宋_GB2312" w:cs="仿宋_GB2312"/>
          <w:highlight w:val="none"/>
        </w:rPr>
        <w:t>优化绩效闭环，突出结果运用： 项目竣工后，不仅关注工程验收，更将受益方（师生、家长）满意度调查作为核心绩效评价指标，并督促落实长效运维机制。绩效评价结果直接反馈至后续预算安排及项目管理政策优化，确保财政投入精准有效、落到实处，切实提升公共服务供给质量与资金使用效益。</w:t>
      </w:r>
    </w:p>
    <w:p>
      <w:pPr>
        <w:pStyle w:val="4"/>
        <w:pageBreakBefore w:val="0"/>
        <w:wordWrap/>
        <w:overflowPunct/>
        <w:bidi w:val="0"/>
        <w:spacing w:line="560" w:lineRule="exact"/>
        <w:rPr>
          <w:rFonts w:hint="default"/>
          <w:highlight w:val="none"/>
        </w:rPr>
      </w:pPr>
      <w:bookmarkStart w:id="108" w:name="_Toc1923732623"/>
      <w:bookmarkStart w:id="109" w:name="_Toc649811955"/>
      <w:bookmarkStart w:id="110" w:name="_Toc1394535533"/>
      <w:bookmarkStart w:id="111" w:name="_Toc547288498"/>
      <w:bookmarkStart w:id="112" w:name="_Toc1718903862"/>
      <w:bookmarkStart w:id="113" w:name="_Toc421782533"/>
      <w:bookmarkStart w:id="114" w:name="_Toc1097880911"/>
      <w:bookmarkStart w:id="115" w:name="_Toc693077130"/>
      <w:bookmarkStart w:id="116" w:name="_Toc1455686355"/>
      <w:r>
        <w:rPr>
          <w:rFonts w:hint="eastAsia"/>
          <w:highlight w:val="none"/>
          <w:lang w:eastAsia="zh-CN"/>
        </w:rPr>
        <w:t>（</w:t>
      </w:r>
      <w:r>
        <w:rPr>
          <w:rFonts w:hint="eastAsia"/>
          <w:highlight w:val="none"/>
          <w:lang w:val="en-US" w:eastAsia="zh-CN"/>
        </w:rPr>
        <w:t>二</w:t>
      </w:r>
      <w:r>
        <w:rPr>
          <w:rFonts w:hint="eastAsia"/>
          <w:highlight w:val="none"/>
          <w:lang w:eastAsia="zh-CN"/>
        </w:rPr>
        <w:t>）存在问题与不足</w:t>
      </w:r>
      <w:bookmarkEnd w:id="108"/>
      <w:bookmarkEnd w:id="109"/>
      <w:bookmarkEnd w:id="110"/>
      <w:bookmarkEnd w:id="111"/>
      <w:bookmarkEnd w:id="112"/>
      <w:bookmarkEnd w:id="113"/>
      <w:bookmarkEnd w:id="114"/>
      <w:bookmarkEnd w:id="115"/>
      <w:bookmarkEnd w:id="116"/>
      <w:bookmarkStart w:id="117" w:name="_Toc1807889176"/>
      <w:bookmarkStart w:id="118" w:name="_Toc1458401190"/>
      <w:bookmarkStart w:id="119" w:name="_Toc1435182690"/>
      <w:bookmarkStart w:id="120" w:name="_Toc959162131"/>
      <w:bookmarkStart w:id="121" w:name="_Toc904976153"/>
      <w:bookmarkStart w:id="122" w:name="_Toc322179773"/>
      <w:bookmarkStart w:id="123" w:name="_Toc1586861861"/>
      <w:bookmarkStart w:id="124" w:name="_Toc596022582"/>
    </w:p>
    <w:bookmarkEnd w:id="117"/>
    <w:bookmarkEnd w:id="118"/>
    <w:bookmarkEnd w:id="119"/>
    <w:bookmarkEnd w:id="120"/>
    <w:bookmarkEnd w:id="121"/>
    <w:bookmarkEnd w:id="122"/>
    <w:bookmarkEnd w:id="123"/>
    <w:bookmarkEnd w:id="124"/>
    <w:p>
      <w:pPr>
        <w:pStyle w:val="5"/>
        <w:pageBreakBefore w:val="0"/>
        <w:numPr>
          <w:ilvl w:val="-1"/>
          <w:numId w:val="0"/>
        </w:numPr>
        <w:wordWrap/>
        <w:overflowPunct/>
        <w:topLinePunct w:val="0"/>
        <w:bidi w:val="0"/>
        <w:snapToGrid/>
        <w:spacing w:line="560" w:lineRule="exact"/>
        <w:ind w:leftChars="200" w:firstLine="0" w:firstLineChars="0"/>
        <w:rPr>
          <w:rFonts w:hint="default" w:ascii="Times New Roman" w:hAnsi="Times New Roman" w:cs="Times New Roman"/>
          <w:highlight w:val="none"/>
        </w:rPr>
      </w:pPr>
      <w:bookmarkStart w:id="125" w:name="_Toc787885734"/>
      <w:bookmarkStart w:id="126" w:name="_Toc82090274"/>
      <w:bookmarkStart w:id="127" w:name="_Toc1455015417"/>
      <w:bookmarkStart w:id="128" w:name="_Toc447259629"/>
      <w:bookmarkStart w:id="129" w:name="_Toc1487806066"/>
      <w:bookmarkStart w:id="130" w:name="_Toc605325785"/>
      <w:bookmarkStart w:id="131" w:name="_Toc1069170724"/>
      <w:bookmarkStart w:id="132" w:name="_Toc1005542090"/>
      <w:bookmarkStart w:id="133" w:name="_Toc579147726"/>
      <w:bookmarkStart w:id="134" w:name="_Toc1639043604"/>
      <w:bookmarkStart w:id="135" w:name="_Toc74990369"/>
      <w:r>
        <w:rPr>
          <w:rFonts w:hint="eastAsia" w:ascii="Times New Roman" w:hAnsi="Times New Roman" w:cs="Times New Roman"/>
          <w:highlight w:val="none"/>
          <w:lang w:val="en-US" w:eastAsia="zh-CN"/>
        </w:rPr>
        <w:t>1.</w:t>
      </w:r>
      <w:r>
        <w:rPr>
          <w:rFonts w:hint="default" w:ascii="Times New Roman" w:hAnsi="Times New Roman" w:cs="Times New Roman"/>
          <w:highlight w:val="none"/>
        </w:rPr>
        <w:t>个别绩效目标及指标设置不合理</w:t>
      </w:r>
      <w:bookmarkEnd w:id="125"/>
      <w:bookmarkEnd w:id="126"/>
      <w:bookmarkEnd w:id="127"/>
      <w:bookmarkEnd w:id="128"/>
      <w:bookmarkEnd w:id="129"/>
      <w:bookmarkEnd w:id="130"/>
      <w:bookmarkEnd w:id="131"/>
      <w:bookmarkEnd w:id="132"/>
      <w:bookmarkEnd w:id="133"/>
    </w:p>
    <w:p>
      <w:pPr>
        <w:pageBreakBefore w:val="0"/>
        <w:wordWrap/>
        <w:overflowPunct/>
        <w:topLinePunct w:val="0"/>
        <w:bidi w:val="0"/>
        <w:snapToGrid/>
        <w:spacing w:line="560" w:lineRule="exact"/>
        <w:ind w:left="0" w:leftChars="0" w:firstLineChars="200"/>
        <w:rPr>
          <w:rFonts w:hint="default" w:ascii="Times New Roman" w:hAnsi="Times New Roman" w:cs="Times New Roman"/>
          <w:highlight w:val="none"/>
        </w:rPr>
      </w:pPr>
      <w:r>
        <w:rPr>
          <w:rFonts w:hint="default" w:ascii="Times New Roman" w:hAnsi="Times New Roman" w:cs="Times New Roman"/>
          <w:highlight w:val="none"/>
        </w:rPr>
        <w:t>鉴于该项目完工日期为2026年，目前尚未完工，因此2024年设定该项目绩效目标时，社会效益指标中不宜纳入“义务教育服务能力、水平”，不具备对义务教育能力和水平进行测评的条件</w:t>
      </w:r>
      <w:r>
        <w:rPr>
          <w:rFonts w:hint="eastAsia" w:ascii="Times New Roman" w:hAnsi="Times New Roman" w:cs="Times New Roman"/>
          <w:highlight w:val="none"/>
          <w:lang w:eastAsia="zh-CN"/>
        </w:rPr>
        <w:t>；</w:t>
      </w:r>
      <w:r>
        <w:rPr>
          <w:rFonts w:hint="default" w:ascii="Times New Roman" w:hAnsi="Times New Roman" w:cs="Times New Roman"/>
          <w:highlight w:val="none"/>
        </w:rPr>
        <w:t>部分指标无法衡量，例如满意度指标“服务对象满意度”指标值“≥85％”</w:t>
      </w:r>
      <w:r>
        <w:rPr>
          <w:rFonts w:hint="eastAsia" w:ascii="Times New Roman" w:hAnsi="Times New Roman" w:cs="Times New Roman"/>
          <w:highlight w:val="none"/>
          <w:lang w:eastAsia="zh-CN"/>
        </w:rPr>
        <w:t>。</w:t>
      </w:r>
      <w:bookmarkStart w:id="136" w:name="_Toc1080432656"/>
      <w:bookmarkStart w:id="137" w:name="_Toc899820103"/>
      <w:bookmarkStart w:id="138" w:name="_Toc1339942678"/>
      <w:bookmarkStart w:id="139" w:name="_Toc1006733744"/>
      <w:bookmarkStart w:id="140" w:name="_Toc1047825130"/>
      <w:bookmarkStart w:id="141" w:name="_Toc1597088387"/>
      <w:bookmarkStart w:id="142" w:name="_Toc1556683819"/>
      <w:bookmarkStart w:id="143" w:name="_Toc256965594"/>
      <w:bookmarkStart w:id="144" w:name="_Toc611363936"/>
    </w:p>
    <w:bookmarkEnd w:id="134"/>
    <w:bookmarkEnd w:id="135"/>
    <w:bookmarkEnd w:id="136"/>
    <w:bookmarkEnd w:id="137"/>
    <w:bookmarkEnd w:id="138"/>
    <w:bookmarkEnd w:id="139"/>
    <w:bookmarkEnd w:id="140"/>
    <w:bookmarkEnd w:id="141"/>
    <w:bookmarkEnd w:id="142"/>
    <w:bookmarkEnd w:id="143"/>
    <w:bookmarkEnd w:id="144"/>
    <w:p>
      <w:pPr>
        <w:pStyle w:val="4"/>
        <w:bidi w:val="0"/>
        <w:rPr>
          <w:rFonts w:hint="eastAsia"/>
          <w:highlight w:val="none"/>
          <w:lang w:eastAsia="zh-CN"/>
        </w:rPr>
      </w:pPr>
      <w:bookmarkStart w:id="145" w:name="_Toc1431054510"/>
      <w:bookmarkStart w:id="146" w:name="_Toc1903066704"/>
      <w:bookmarkStart w:id="147" w:name="_Toc696628947"/>
      <w:bookmarkStart w:id="148" w:name="_Toc391674532"/>
      <w:bookmarkStart w:id="149" w:name="_Toc1857414007"/>
      <w:bookmarkStart w:id="150" w:name="_Toc150380695"/>
      <w:bookmarkStart w:id="151" w:name="_Toc866416456"/>
      <w:bookmarkStart w:id="152" w:name="_Toc231124241"/>
      <w:bookmarkStart w:id="153" w:name="_Toc1631905104"/>
      <w:bookmarkStart w:id="154" w:name="_Toc730925406"/>
      <w:bookmarkStart w:id="155" w:name="_Toc1308147600"/>
      <w:bookmarkStart w:id="156" w:name="_Toc580464532"/>
      <w:r>
        <w:rPr>
          <w:rFonts w:hint="eastAsia"/>
          <w:highlight w:val="none"/>
          <w:lang w:eastAsia="zh-CN"/>
        </w:rPr>
        <w:t>（三）建议和改进措施</w:t>
      </w:r>
      <w:bookmarkEnd w:id="145"/>
      <w:bookmarkEnd w:id="146"/>
      <w:bookmarkEnd w:id="147"/>
      <w:bookmarkEnd w:id="148"/>
      <w:bookmarkEnd w:id="149"/>
      <w:bookmarkEnd w:id="150"/>
      <w:bookmarkEnd w:id="151"/>
      <w:bookmarkEnd w:id="152"/>
      <w:bookmarkEnd w:id="153"/>
    </w:p>
    <w:bookmarkEnd w:id="154"/>
    <w:bookmarkEnd w:id="155"/>
    <w:bookmarkEnd w:id="156"/>
    <w:p>
      <w:pPr>
        <w:pStyle w:val="5"/>
        <w:pageBreakBefore w:val="0"/>
        <w:numPr>
          <w:ilvl w:val="-1"/>
          <w:numId w:val="0"/>
        </w:numPr>
        <w:wordWrap/>
        <w:overflowPunct/>
        <w:topLinePunct w:val="0"/>
        <w:bidi w:val="0"/>
        <w:snapToGrid/>
        <w:spacing w:line="560" w:lineRule="exact"/>
        <w:ind w:leftChars="200" w:firstLine="0" w:firstLineChars="0"/>
        <w:rPr>
          <w:rFonts w:hint="default" w:ascii="Times New Roman" w:hAnsi="Times New Roman" w:cs="Times New Roman"/>
          <w:highlight w:val="none"/>
        </w:rPr>
      </w:pPr>
      <w:bookmarkStart w:id="157" w:name="_Toc1312734821"/>
      <w:bookmarkStart w:id="158" w:name="_Toc500537456"/>
      <w:bookmarkStart w:id="159" w:name="_Toc2103158246"/>
      <w:bookmarkStart w:id="160" w:name="_Toc960801572"/>
      <w:bookmarkStart w:id="161" w:name="_Toc2056650622"/>
      <w:bookmarkStart w:id="162" w:name="_Toc315498633"/>
      <w:bookmarkStart w:id="163" w:name="_Toc277857965"/>
      <w:bookmarkStart w:id="164" w:name="_Toc2146908334"/>
      <w:bookmarkStart w:id="165" w:name="_Toc1803249907"/>
      <w:bookmarkStart w:id="166" w:name="_Toc1814372393"/>
      <w:bookmarkStart w:id="167" w:name="_Toc2003743248"/>
      <w:bookmarkStart w:id="168" w:name="_Toc663547057"/>
      <w:r>
        <w:rPr>
          <w:rFonts w:hint="eastAsia" w:ascii="Times New Roman" w:hAnsi="Times New Roman" w:cs="Times New Roman"/>
          <w:highlight w:val="none"/>
          <w:lang w:val="en-US" w:eastAsia="zh-CN"/>
        </w:rPr>
        <w:t>1.</w:t>
      </w:r>
      <w:r>
        <w:rPr>
          <w:rFonts w:hint="default" w:ascii="Times New Roman" w:hAnsi="Times New Roman" w:cs="Times New Roman"/>
          <w:highlight w:val="none"/>
        </w:rPr>
        <w:t>加强绩效目标管理，提升绩效目标编制水平。</w:t>
      </w:r>
      <w:bookmarkEnd w:id="157"/>
      <w:bookmarkEnd w:id="158"/>
      <w:bookmarkEnd w:id="159"/>
      <w:bookmarkEnd w:id="160"/>
      <w:bookmarkEnd w:id="161"/>
      <w:bookmarkEnd w:id="162"/>
      <w:bookmarkEnd w:id="163"/>
      <w:bookmarkEnd w:id="164"/>
      <w:bookmarkEnd w:id="165"/>
      <w:bookmarkEnd w:id="166"/>
      <w:bookmarkEnd w:id="167"/>
      <w:bookmarkEnd w:id="168"/>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加强学习研究，提高绩效目标科学性。加强对预算绩效管理相关规章制度的学习和研究，严格按照“指向明确、细化量化、合理可行、相应匹配”的原则编制项目绩效目标，提高绩效目标设置的科学性。</w:t>
      </w:r>
    </w:p>
    <w:p>
      <w:pPr>
        <w:keepNext w:val="0"/>
        <w:keepLines w:val="0"/>
        <w:pageBreakBefore w:val="0"/>
        <w:widowControl/>
        <w:kinsoku w:val="0"/>
        <w:wordWrap/>
        <w:overflowPunct/>
        <w:topLinePunct w:val="0"/>
        <w:autoSpaceDE w:val="0"/>
        <w:autoSpaceDN w:val="0"/>
        <w:bidi w:val="0"/>
        <w:adjustRightInd w:val="0"/>
        <w:snapToGrid/>
        <w:spacing w:before="18" w:line="560" w:lineRule="exact"/>
        <w:ind w:firstLine="0" w:firstLineChars="0"/>
        <w:rPr>
          <w:rFonts w:hint="default" w:ascii="Times New Roman" w:hAnsi="Times New Roman" w:eastAsia="仿宋_GB2312" w:cs="Times New Roman"/>
          <w:highlight w:val="none"/>
        </w:rPr>
      </w:pPr>
    </w:p>
    <w:p>
      <w:pPr>
        <w:keepNext w:val="0"/>
        <w:keepLines w:val="0"/>
        <w:pageBreakBefore w:val="0"/>
        <w:widowControl/>
        <w:kinsoku w:val="0"/>
        <w:wordWrap/>
        <w:overflowPunct/>
        <w:topLinePunct w:val="0"/>
        <w:autoSpaceDE w:val="0"/>
        <w:autoSpaceDN w:val="0"/>
        <w:bidi w:val="0"/>
        <w:adjustRightInd w:val="0"/>
        <w:snapToGrid/>
        <w:spacing w:before="18" w:line="560" w:lineRule="exact"/>
        <w:ind w:left="0" w:leftChars="0" w:firstLine="0" w:firstLineChars="0"/>
        <w:rPr>
          <w:rFonts w:hint="default" w:ascii="Times New Roman" w:hAnsi="Times New Roman" w:eastAsia="仿宋_GB2312" w:cs="Times New Roman"/>
          <w:highlight w:val="none"/>
        </w:rPr>
      </w:pPr>
      <w:bookmarkStart w:id="623" w:name="_GoBack"/>
      <w:bookmarkEnd w:id="623"/>
    </w:p>
    <w:sdt>
      <w:sdtPr>
        <w:rPr>
          <w:rFonts w:hint="default" w:ascii="Times New Roman" w:hAnsi="Times New Roman" w:eastAsia="黑体" w:cs="Times New Roman"/>
          <w:highlight w:val="none"/>
        </w:rPr>
        <w:id w:val="355377333"/>
        <w15:color w:val="DBDBDB"/>
        <w:docPartObj>
          <w:docPartGallery w:val="Table of Contents"/>
          <w:docPartUnique/>
        </w:docPartObj>
      </w:sdtPr>
      <w:sdtEndPr>
        <w:rPr>
          <w:rFonts w:hint="default" w:ascii="Times New Roman" w:hAnsi="Times New Roman" w:eastAsia="仿宋_GB2312" w:cs="Times New Roman"/>
          <w:snapToGrid w:val="0"/>
          <w:color w:val="000000"/>
          <w:kern w:val="0"/>
          <w:sz w:val="31"/>
          <w:szCs w:val="21"/>
          <w:highlight w:val="none"/>
          <w:lang w:val="en-US" w:eastAsia="en-US" w:bidi="ar-SA"/>
        </w:rPr>
      </w:sdtEndPr>
      <w:sdtContent>
        <w:p>
          <w:pPr>
            <w:jc w:val="center"/>
            <w:rPr>
              <w:rFonts w:hint="default" w:ascii="黑体" w:hAnsi="黑体" w:eastAsia="黑体" w:cs="黑体"/>
              <w:b/>
              <w:bCs/>
              <w:sz w:val="44"/>
              <w:szCs w:val="44"/>
              <w:highlight w:val="none"/>
            </w:rPr>
          </w:pPr>
          <w:bookmarkStart w:id="169" w:name="_Toc1289542435"/>
          <w:bookmarkStart w:id="170" w:name="_Toc1119701840"/>
          <w:bookmarkStart w:id="171" w:name="_Toc1814725461"/>
          <w:bookmarkStart w:id="172" w:name="_Toc745203793"/>
          <w:bookmarkStart w:id="173" w:name="_Toc1659694031"/>
          <w:r>
            <w:rPr>
              <w:rFonts w:hint="default" w:ascii="黑体" w:hAnsi="黑体" w:eastAsia="黑体" w:cs="黑体"/>
              <w:b/>
              <w:bCs/>
              <w:sz w:val="44"/>
              <w:szCs w:val="44"/>
              <w:highlight w:val="none"/>
            </w:rPr>
            <w:t>目录</w:t>
          </w:r>
          <w:bookmarkEnd w:id="169"/>
          <w:bookmarkEnd w:id="170"/>
          <w:bookmarkEnd w:id="171"/>
          <w:bookmarkEnd w:id="172"/>
          <w:bookmarkEnd w:id="173"/>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TOC \o "1-3" \h \u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_Toc496333153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摘  要</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_Toc496333153 \h </w:instrText>
          </w:r>
          <w:r>
            <w:rPr>
              <w:rFonts w:hint="eastAsia"/>
              <w:snapToGrid/>
              <w:kern w:val="2"/>
              <w:szCs w:val="24"/>
              <w:highlight w:val="none"/>
              <w:lang w:eastAsia="zh-CN"/>
            </w:rPr>
            <w:fldChar w:fldCharType="separate"/>
          </w:r>
          <w:r>
            <w:rPr>
              <w:rFonts w:hint="eastAsia"/>
              <w:snapToGrid/>
              <w:kern w:val="2"/>
              <w:szCs w:val="24"/>
              <w:highlight w:val="none"/>
              <w:lang w:eastAsia="zh-CN"/>
            </w:rPr>
            <w:t>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_Toc1822620514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一、基本情况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_Toc1822620514 \h </w:instrText>
          </w:r>
          <w:r>
            <w:rPr>
              <w:rFonts w:hint="eastAsia"/>
              <w:snapToGrid/>
              <w:kern w:val="2"/>
              <w:szCs w:val="24"/>
              <w:highlight w:val="none"/>
              <w:lang w:eastAsia="zh-CN"/>
            </w:rPr>
            <w:fldChar w:fldCharType="separate"/>
          </w:r>
          <w:r>
            <w:rPr>
              <w:rFonts w:hint="eastAsia"/>
              <w:snapToGrid/>
              <w:kern w:val="2"/>
              <w:szCs w:val="24"/>
              <w:highlight w:val="none"/>
              <w:lang w:eastAsia="zh-CN"/>
            </w:rPr>
            <w:t>11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_Toc1076237990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（一）项目概况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_Toc1076237990 \h </w:instrText>
          </w:r>
          <w:r>
            <w:rPr>
              <w:rFonts w:hint="eastAsia"/>
              <w:snapToGrid/>
              <w:kern w:val="2"/>
              <w:szCs w:val="24"/>
              <w:highlight w:val="none"/>
              <w:lang w:eastAsia="zh-CN"/>
            </w:rPr>
            <w:fldChar w:fldCharType="separate"/>
          </w:r>
          <w:r>
            <w:rPr>
              <w:rFonts w:hint="eastAsia"/>
              <w:snapToGrid/>
              <w:kern w:val="2"/>
              <w:szCs w:val="24"/>
              <w:highlight w:val="none"/>
              <w:lang w:eastAsia="zh-CN"/>
            </w:rPr>
            <w:t>11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_Toc77139249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val="en-US" w:eastAsia="zh-CN"/>
            </w:rPr>
            <w:t>1. 项目背景</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_Toc77139249 \h </w:instrText>
          </w:r>
          <w:r>
            <w:rPr>
              <w:rFonts w:hint="eastAsia"/>
              <w:snapToGrid/>
              <w:kern w:val="2"/>
              <w:szCs w:val="24"/>
              <w:highlight w:val="none"/>
              <w:lang w:eastAsia="zh-CN"/>
            </w:rPr>
            <w:fldChar w:fldCharType="separate"/>
          </w:r>
          <w:r>
            <w:rPr>
              <w:rFonts w:hint="eastAsia"/>
              <w:snapToGrid/>
              <w:kern w:val="2"/>
              <w:szCs w:val="24"/>
              <w:highlight w:val="none"/>
              <w:lang w:eastAsia="zh-CN"/>
            </w:rPr>
            <w:t>11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_Toc1546718802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val="en-US" w:eastAsia="zh-CN"/>
            </w:rPr>
            <w:t>2. 项目主要内容及实施情况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_Toc1546718802 \h </w:instrText>
          </w:r>
          <w:r>
            <w:rPr>
              <w:rFonts w:hint="eastAsia"/>
              <w:snapToGrid/>
              <w:kern w:val="2"/>
              <w:szCs w:val="24"/>
              <w:highlight w:val="none"/>
              <w:lang w:eastAsia="zh-CN"/>
            </w:rPr>
            <w:fldChar w:fldCharType="separate"/>
          </w:r>
          <w:r>
            <w:rPr>
              <w:rFonts w:hint="eastAsia"/>
              <w:snapToGrid/>
              <w:kern w:val="2"/>
              <w:szCs w:val="24"/>
              <w:highlight w:val="none"/>
              <w:lang w:eastAsia="zh-CN"/>
            </w:rPr>
            <w:t>12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_Toc413358279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val="en-US" w:eastAsia="zh-CN"/>
            </w:rPr>
            <w:t xml:space="preserve">3. </w:t>
          </w:r>
          <w:r>
            <w:rPr>
              <w:rFonts w:hint="eastAsia" w:ascii="仿宋_GB2312" w:hAnsi="仿宋_GB2312" w:cs="仿宋_GB2312"/>
              <w:snapToGrid/>
              <w:kern w:val="2"/>
              <w:szCs w:val="24"/>
              <w:highlight w:val="none"/>
              <w:lang w:eastAsia="zh-CN"/>
            </w:rPr>
            <w:t>资金投入和使用情况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_Toc413358279 \h </w:instrText>
          </w:r>
          <w:r>
            <w:rPr>
              <w:rFonts w:hint="eastAsia"/>
              <w:snapToGrid/>
              <w:kern w:val="2"/>
              <w:szCs w:val="24"/>
              <w:highlight w:val="none"/>
              <w:lang w:eastAsia="zh-CN"/>
            </w:rPr>
            <w:fldChar w:fldCharType="separate"/>
          </w:r>
          <w:r>
            <w:rPr>
              <w:rFonts w:hint="eastAsia"/>
              <w:snapToGrid/>
              <w:kern w:val="2"/>
              <w:szCs w:val="24"/>
              <w:highlight w:val="none"/>
              <w:lang w:eastAsia="zh-CN"/>
            </w:rPr>
            <w:t>13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_Toc202997108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二</w:t>
          </w:r>
          <w:r>
            <w:rPr>
              <w:rFonts w:hint="eastAsia"/>
              <w:snapToGrid/>
              <w:kern w:val="2"/>
              <w:szCs w:val="24"/>
              <w:highlight w:val="none"/>
              <w:lang w:eastAsia="zh-CN"/>
            </w:rPr>
            <w:t>）项目组织情况及实施进展情况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_Toc202997108 \h </w:instrText>
          </w:r>
          <w:r>
            <w:rPr>
              <w:rFonts w:hint="eastAsia"/>
              <w:snapToGrid/>
              <w:kern w:val="2"/>
              <w:szCs w:val="24"/>
              <w:highlight w:val="none"/>
              <w:lang w:eastAsia="zh-CN"/>
            </w:rPr>
            <w:fldChar w:fldCharType="separate"/>
          </w:r>
          <w:r>
            <w:rPr>
              <w:rFonts w:hint="eastAsia"/>
              <w:snapToGrid/>
              <w:kern w:val="2"/>
              <w:szCs w:val="24"/>
              <w:highlight w:val="none"/>
              <w:lang w:eastAsia="zh-CN"/>
            </w:rPr>
            <w:t>13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_Toc1568362720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1</w:t>
          </w:r>
          <w:r>
            <w:rPr>
              <w:rFonts w:hint="eastAsia" w:ascii="仿宋_GB2312" w:hAnsi="仿宋_GB2312" w:eastAsia="仿宋_GB2312" w:cs="仿宋_GB2312"/>
              <w:snapToGrid/>
              <w:kern w:val="2"/>
              <w:szCs w:val="24"/>
              <w:highlight w:val="none"/>
              <w:lang w:val="en-US" w:eastAsia="zh-CN"/>
            </w:rPr>
            <w:t xml:space="preserve">. </w:t>
          </w:r>
          <w:r>
            <w:rPr>
              <w:rFonts w:hint="eastAsia" w:ascii="仿宋_GB2312" w:hAnsi="仿宋_GB2312" w:eastAsia="仿宋_GB2312" w:cs="仿宋_GB2312"/>
              <w:snapToGrid/>
              <w:kern w:val="2"/>
              <w:szCs w:val="24"/>
              <w:highlight w:val="none"/>
              <w:lang w:eastAsia="zh-CN"/>
            </w:rPr>
            <w:t>项目组织情况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_Toc1568362720 \h </w:instrText>
          </w:r>
          <w:r>
            <w:rPr>
              <w:rFonts w:hint="eastAsia"/>
              <w:snapToGrid/>
              <w:kern w:val="2"/>
              <w:szCs w:val="24"/>
              <w:highlight w:val="none"/>
              <w:lang w:eastAsia="zh-CN"/>
            </w:rPr>
            <w:fldChar w:fldCharType="separate"/>
          </w:r>
          <w:r>
            <w:rPr>
              <w:rFonts w:hint="eastAsia"/>
              <w:snapToGrid/>
              <w:kern w:val="2"/>
              <w:szCs w:val="24"/>
              <w:highlight w:val="none"/>
              <w:lang w:eastAsia="zh-CN"/>
            </w:rPr>
            <w:t>13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_Toc1257951762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2. 项目实施进展情况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_Toc1257951762 \h </w:instrText>
          </w:r>
          <w:r>
            <w:rPr>
              <w:rFonts w:hint="eastAsia"/>
              <w:snapToGrid/>
              <w:kern w:val="2"/>
              <w:szCs w:val="24"/>
              <w:highlight w:val="none"/>
              <w:lang w:eastAsia="zh-CN"/>
            </w:rPr>
            <w:fldChar w:fldCharType="separate"/>
          </w:r>
          <w:r>
            <w:rPr>
              <w:rFonts w:hint="eastAsia"/>
              <w:snapToGrid/>
              <w:kern w:val="2"/>
              <w:szCs w:val="24"/>
              <w:highlight w:val="none"/>
              <w:lang w:eastAsia="zh-CN"/>
            </w:rPr>
            <w:t>14</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_Toc418759219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3. 制度建设情况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_Toc418759219 \h </w:instrText>
          </w:r>
          <w:r>
            <w:rPr>
              <w:rFonts w:hint="eastAsia"/>
              <w:snapToGrid/>
              <w:kern w:val="2"/>
              <w:szCs w:val="24"/>
              <w:highlight w:val="none"/>
              <w:lang w:eastAsia="zh-CN"/>
            </w:rPr>
            <w:fldChar w:fldCharType="separate"/>
          </w:r>
          <w:r>
            <w:rPr>
              <w:rFonts w:hint="eastAsia"/>
              <w:snapToGrid/>
              <w:kern w:val="2"/>
              <w:szCs w:val="24"/>
              <w:highlight w:val="none"/>
              <w:lang w:eastAsia="zh-CN"/>
            </w:rPr>
            <w:t>15</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_Toc782282514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三</w:t>
          </w:r>
          <w:r>
            <w:rPr>
              <w:rFonts w:hint="eastAsia"/>
              <w:snapToGrid/>
              <w:kern w:val="2"/>
              <w:szCs w:val="24"/>
              <w:highlight w:val="none"/>
              <w:lang w:eastAsia="zh-CN"/>
            </w:rPr>
            <w:t>）项目绩效目标情况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_Toc782282514 \h </w:instrText>
          </w:r>
          <w:r>
            <w:rPr>
              <w:rFonts w:hint="eastAsia"/>
              <w:snapToGrid/>
              <w:kern w:val="2"/>
              <w:szCs w:val="24"/>
              <w:highlight w:val="none"/>
              <w:lang w:eastAsia="zh-CN"/>
            </w:rPr>
            <w:fldChar w:fldCharType="separate"/>
          </w:r>
          <w:r>
            <w:rPr>
              <w:rFonts w:hint="eastAsia"/>
              <w:snapToGrid/>
              <w:kern w:val="2"/>
              <w:szCs w:val="24"/>
              <w:highlight w:val="none"/>
              <w:lang w:eastAsia="zh-CN"/>
            </w:rPr>
            <w:t>16</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_Toc927325864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四</w:t>
          </w:r>
          <w:r>
            <w:rPr>
              <w:rFonts w:hint="eastAsia"/>
              <w:snapToGrid/>
              <w:kern w:val="2"/>
              <w:szCs w:val="24"/>
              <w:highlight w:val="none"/>
              <w:lang w:eastAsia="zh-CN"/>
            </w:rPr>
            <w:t>）绩效自评情况及结论</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_Toc927325864 \h </w:instrText>
          </w:r>
          <w:r>
            <w:rPr>
              <w:rFonts w:hint="eastAsia"/>
              <w:snapToGrid/>
              <w:kern w:val="2"/>
              <w:szCs w:val="24"/>
              <w:highlight w:val="none"/>
              <w:lang w:eastAsia="zh-CN"/>
            </w:rPr>
            <w:fldChar w:fldCharType="separate"/>
          </w:r>
          <w:r>
            <w:rPr>
              <w:rFonts w:hint="eastAsia"/>
              <w:snapToGrid/>
              <w:kern w:val="2"/>
              <w:szCs w:val="24"/>
              <w:highlight w:val="none"/>
              <w:lang w:eastAsia="zh-CN"/>
            </w:rPr>
            <w:t>18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_Toc1276969969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二、绩效评价工作开展情况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_Toc1276969969 \h </w:instrText>
          </w:r>
          <w:r>
            <w:rPr>
              <w:rFonts w:hint="eastAsia"/>
              <w:snapToGrid/>
              <w:kern w:val="2"/>
              <w:szCs w:val="24"/>
              <w:highlight w:val="none"/>
              <w:lang w:eastAsia="zh-CN"/>
            </w:rPr>
            <w:fldChar w:fldCharType="separate"/>
          </w:r>
          <w:r>
            <w:rPr>
              <w:rFonts w:hint="eastAsia"/>
              <w:snapToGrid/>
              <w:kern w:val="2"/>
              <w:szCs w:val="24"/>
              <w:highlight w:val="none"/>
              <w:lang w:eastAsia="zh-CN"/>
            </w:rPr>
            <w:t>18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_Toc82700865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（一）绩效评价目的、对象和范围</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_Toc82700865 \h </w:instrText>
          </w:r>
          <w:r>
            <w:rPr>
              <w:rFonts w:hint="eastAsia"/>
              <w:snapToGrid/>
              <w:kern w:val="2"/>
              <w:szCs w:val="24"/>
              <w:highlight w:val="none"/>
              <w:lang w:eastAsia="zh-CN"/>
            </w:rPr>
            <w:fldChar w:fldCharType="separate"/>
          </w:r>
          <w:r>
            <w:rPr>
              <w:rFonts w:hint="eastAsia"/>
              <w:snapToGrid/>
              <w:kern w:val="2"/>
              <w:szCs w:val="24"/>
              <w:highlight w:val="none"/>
              <w:lang w:eastAsia="zh-CN"/>
            </w:rPr>
            <w:t>18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_Toc531518446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val="en-US" w:eastAsia="zh-CN"/>
            </w:rPr>
            <w:t xml:space="preserve">1. </w:t>
          </w:r>
          <w:r>
            <w:rPr>
              <w:rFonts w:hint="eastAsia" w:ascii="仿宋_GB2312" w:hAnsi="仿宋_GB2312" w:cs="仿宋_GB2312"/>
              <w:snapToGrid/>
              <w:kern w:val="2"/>
              <w:szCs w:val="24"/>
              <w:highlight w:val="none"/>
              <w:lang w:eastAsia="zh-CN"/>
            </w:rPr>
            <w:t>绩效评价目的</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_Toc531518446 \h </w:instrText>
          </w:r>
          <w:r>
            <w:rPr>
              <w:rFonts w:hint="eastAsia"/>
              <w:snapToGrid/>
              <w:kern w:val="2"/>
              <w:szCs w:val="24"/>
              <w:highlight w:val="none"/>
              <w:lang w:eastAsia="zh-CN"/>
            </w:rPr>
            <w:fldChar w:fldCharType="separate"/>
          </w:r>
          <w:r>
            <w:rPr>
              <w:rFonts w:hint="eastAsia"/>
              <w:snapToGrid/>
              <w:kern w:val="2"/>
              <w:szCs w:val="24"/>
              <w:highlight w:val="none"/>
              <w:lang w:eastAsia="zh-CN"/>
            </w:rPr>
            <w:t>18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_Toc1846034049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2. 绩效评价对象</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_Toc1846034049 \h </w:instrText>
          </w:r>
          <w:r>
            <w:rPr>
              <w:rFonts w:hint="eastAsia"/>
              <w:snapToGrid/>
              <w:kern w:val="2"/>
              <w:szCs w:val="24"/>
              <w:highlight w:val="none"/>
              <w:lang w:eastAsia="zh-CN"/>
            </w:rPr>
            <w:fldChar w:fldCharType="separate"/>
          </w:r>
          <w:r>
            <w:rPr>
              <w:rFonts w:hint="eastAsia"/>
              <w:snapToGrid/>
              <w:kern w:val="2"/>
              <w:szCs w:val="24"/>
              <w:highlight w:val="none"/>
              <w:lang w:eastAsia="zh-CN"/>
            </w:rPr>
            <w:t>18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_Toc1598013334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3. 绩效评价范围</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_Toc1598013334 \h </w:instrText>
          </w:r>
          <w:r>
            <w:rPr>
              <w:rFonts w:hint="eastAsia"/>
              <w:snapToGrid/>
              <w:kern w:val="2"/>
              <w:szCs w:val="24"/>
              <w:highlight w:val="none"/>
              <w:lang w:eastAsia="zh-CN"/>
            </w:rPr>
            <w:fldChar w:fldCharType="separate"/>
          </w:r>
          <w:r>
            <w:rPr>
              <w:rFonts w:hint="eastAsia"/>
              <w:snapToGrid/>
              <w:kern w:val="2"/>
              <w:szCs w:val="24"/>
              <w:highlight w:val="none"/>
              <w:lang w:eastAsia="zh-CN"/>
            </w:rPr>
            <w:t>18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_Toc1379615156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4. 绩效评价时间：</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_Toc1379615156 \h </w:instrText>
          </w:r>
          <w:r>
            <w:rPr>
              <w:rFonts w:hint="eastAsia"/>
              <w:snapToGrid/>
              <w:kern w:val="2"/>
              <w:szCs w:val="24"/>
              <w:highlight w:val="none"/>
              <w:lang w:eastAsia="zh-CN"/>
            </w:rPr>
            <w:fldChar w:fldCharType="separate"/>
          </w:r>
          <w:r>
            <w:rPr>
              <w:rFonts w:hint="eastAsia"/>
              <w:snapToGrid/>
              <w:kern w:val="2"/>
              <w:szCs w:val="24"/>
              <w:highlight w:val="none"/>
              <w:lang w:eastAsia="zh-CN"/>
            </w:rPr>
            <w:t>19</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_Toc810990233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二</w:t>
          </w:r>
          <w:r>
            <w:rPr>
              <w:rFonts w:hint="eastAsia"/>
              <w:snapToGrid/>
              <w:kern w:val="2"/>
              <w:szCs w:val="24"/>
              <w:highlight w:val="none"/>
              <w:lang w:eastAsia="zh-CN"/>
            </w:rPr>
            <w:t>）绩效评价原则、评价指标体系（附表说明）、评价方法、评价标准等。</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_Toc810990233 \h </w:instrText>
          </w:r>
          <w:r>
            <w:rPr>
              <w:rFonts w:hint="eastAsia"/>
              <w:snapToGrid/>
              <w:kern w:val="2"/>
              <w:szCs w:val="24"/>
              <w:highlight w:val="none"/>
              <w:lang w:eastAsia="zh-CN"/>
            </w:rPr>
            <w:fldChar w:fldCharType="separate"/>
          </w:r>
          <w:r>
            <w:rPr>
              <w:rFonts w:hint="eastAsia"/>
              <w:snapToGrid/>
              <w:kern w:val="2"/>
              <w:szCs w:val="24"/>
              <w:highlight w:val="none"/>
              <w:lang w:eastAsia="zh-CN"/>
            </w:rPr>
            <w:t>19</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_Toc234138522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1.</w:t>
          </w:r>
          <w:r>
            <w:rPr>
              <w:rFonts w:hint="eastAsia" w:ascii="仿宋_GB2312" w:hAnsi="仿宋_GB2312" w:eastAsia="仿宋_GB2312" w:cs="仿宋_GB2312"/>
              <w:snapToGrid/>
              <w:kern w:val="2"/>
              <w:szCs w:val="24"/>
              <w:highlight w:val="none"/>
              <w:lang w:val="en-US" w:eastAsia="zh-CN"/>
            </w:rPr>
            <w:t xml:space="preserve"> 绩效评价原则</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_Toc234138522 \h </w:instrText>
          </w:r>
          <w:r>
            <w:rPr>
              <w:rFonts w:hint="eastAsia"/>
              <w:snapToGrid/>
              <w:kern w:val="2"/>
              <w:szCs w:val="24"/>
              <w:highlight w:val="none"/>
              <w:lang w:eastAsia="zh-CN"/>
            </w:rPr>
            <w:fldChar w:fldCharType="separate"/>
          </w:r>
          <w:r>
            <w:rPr>
              <w:rFonts w:hint="eastAsia"/>
              <w:snapToGrid/>
              <w:kern w:val="2"/>
              <w:szCs w:val="24"/>
              <w:highlight w:val="none"/>
              <w:lang w:eastAsia="zh-CN"/>
            </w:rPr>
            <w:t>19</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_Toc976097950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2. 评价指标体系（附表说明）</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_Toc976097950 \h </w:instrText>
          </w:r>
          <w:r>
            <w:rPr>
              <w:rFonts w:hint="eastAsia"/>
              <w:snapToGrid/>
              <w:kern w:val="2"/>
              <w:szCs w:val="24"/>
              <w:highlight w:val="none"/>
              <w:lang w:eastAsia="zh-CN"/>
            </w:rPr>
            <w:fldChar w:fldCharType="separate"/>
          </w:r>
          <w:r>
            <w:rPr>
              <w:rFonts w:hint="eastAsia"/>
              <w:snapToGrid/>
              <w:kern w:val="2"/>
              <w:szCs w:val="24"/>
              <w:highlight w:val="none"/>
              <w:lang w:eastAsia="zh-CN"/>
            </w:rPr>
            <w:t>19</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_Toc650666217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3. 绩效评价方法</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_Toc650666217 \h </w:instrText>
          </w:r>
          <w:r>
            <w:rPr>
              <w:rFonts w:hint="eastAsia"/>
              <w:snapToGrid/>
              <w:kern w:val="2"/>
              <w:szCs w:val="24"/>
              <w:highlight w:val="none"/>
              <w:lang w:eastAsia="zh-CN"/>
            </w:rPr>
            <w:fldChar w:fldCharType="separate"/>
          </w:r>
          <w:r>
            <w:rPr>
              <w:rFonts w:hint="eastAsia"/>
              <w:snapToGrid/>
              <w:kern w:val="2"/>
              <w:szCs w:val="24"/>
              <w:highlight w:val="none"/>
              <w:lang w:eastAsia="zh-CN"/>
            </w:rPr>
            <w:t>21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_Toc760378595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（1）比较法</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_Toc760378595 \h </w:instrText>
          </w:r>
          <w:r>
            <w:rPr>
              <w:rFonts w:hint="eastAsia"/>
              <w:snapToGrid/>
              <w:kern w:val="2"/>
              <w:szCs w:val="24"/>
              <w:highlight w:val="none"/>
              <w:lang w:eastAsia="zh-CN"/>
            </w:rPr>
            <w:fldChar w:fldCharType="separate"/>
          </w:r>
          <w:r>
            <w:rPr>
              <w:rFonts w:hint="eastAsia"/>
              <w:snapToGrid/>
              <w:kern w:val="2"/>
              <w:szCs w:val="24"/>
              <w:highlight w:val="none"/>
              <w:lang w:eastAsia="zh-CN"/>
            </w:rPr>
            <w:t>21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_Toc7862868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w:t>
          </w:r>
          <w:r>
            <w:rPr>
              <w:rFonts w:hint="eastAsia" w:ascii="仿宋_GB2312" w:hAnsi="仿宋_GB2312" w:eastAsia="仿宋_GB2312" w:cs="仿宋_GB2312"/>
              <w:snapToGrid/>
              <w:kern w:val="2"/>
              <w:szCs w:val="24"/>
              <w:highlight w:val="none"/>
              <w:lang w:val="en-US" w:eastAsia="zh-CN"/>
            </w:rPr>
            <w:t>2</w:t>
          </w:r>
          <w:r>
            <w:rPr>
              <w:rFonts w:hint="eastAsia" w:ascii="仿宋_GB2312" w:hAnsi="仿宋_GB2312" w:eastAsia="仿宋_GB2312" w:cs="仿宋_GB2312"/>
              <w:snapToGrid/>
              <w:kern w:val="2"/>
              <w:szCs w:val="24"/>
              <w:highlight w:val="none"/>
              <w:lang w:eastAsia="zh-CN"/>
            </w:rPr>
            <w:t>）因素分析法</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_Toc7862868 \h </w:instrText>
          </w:r>
          <w:r>
            <w:rPr>
              <w:rFonts w:hint="eastAsia"/>
              <w:snapToGrid/>
              <w:kern w:val="2"/>
              <w:szCs w:val="24"/>
              <w:highlight w:val="none"/>
              <w:lang w:eastAsia="zh-CN"/>
            </w:rPr>
            <w:fldChar w:fldCharType="separate"/>
          </w:r>
          <w:r>
            <w:rPr>
              <w:rFonts w:hint="eastAsia"/>
              <w:snapToGrid/>
              <w:kern w:val="2"/>
              <w:szCs w:val="24"/>
              <w:highlight w:val="none"/>
              <w:lang w:eastAsia="zh-CN"/>
            </w:rPr>
            <w:t>21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_Toc1154720009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4. 绩效评价标准</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_Toc1154720009 \h </w:instrText>
          </w:r>
          <w:r>
            <w:rPr>
              <w:rFonts w:hint="eastAsia"/>
              <w:snapToGrid/>
              <w:kern w:val="2"/>
              <w:szCs w:val="24"/>
              <w:highlight w:val="none"/>
              <w:lang w:eastAsia="zh-CN"/>
            </w:rPr>
            <w:fldChar w:fldCharType="separate"/>
          </w:r>
          <w:r>
            <w:rPr>
              <w:rFonts w:hint="eastAsia"/>
              <w:snapToGrid/>
              <w:kern w:val="2"/>
              <w:szCs w:val="24"/>
              <w:highlight w:val="none"/>
              <w:lang w:eastAsia="zh-CN"/>
            </w:rPr>
            <w:t>22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_Toc569473324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三</w:t>
          </w:r>
          <w:r>
            <w:rPr>
              <w:rFonts w:hint="eastAsia"/>
              <w:snapToGrid/>
              <w:kern w:val="2"/>
              <w:szCs w:val="24"/>
              <w:highlight w:val="none"/>
              <w:lang w:eastAsia="zh-CN"/>
            </w:rPr>
            <w:t>）绩效评价工作过程</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_Toc569473324 \h </w:instrText>
          </w:r>
          <w:r>
            <w:rPr>
              <w:rFonts w:hint="eastAsia"/>
              <w:snapToGrid/>
              <w:kern w:val="2"/>
              <w:szCs w:val="24"/>
              <w:highlight w:val="none"/>
              <w:lang w:eastAsia="zh-CN"/>
            </w:rPr>
            <w:fldChar w:fldCharType="separate"/>
          </w:r>
          <w:r>
            <w:rPr>
              <w:rFonts w:hint="eastAsia"/>
              <w:snapToGrid/>
              <w:kern w:val="2"/>
              <w:szCs w:val="24"/>
              <w:highlight w:val="none"/>
              <w:lang w:eastAsia="zh-CN"/>
            </w:rPr>
            <w:t>22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_Toc1951025436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1.</w:t>
          </w:r>
          <w:r>
            <w:rPr>
              <w:rFonts w:hint="eastAsia" w:ascii="仿宋_GB2312" w:hAnsi="仿宋_GB2312" w:eastAsia="仿宋_GB2312" w:cs="仿宋_GB2312"/>
              <w:snapToGrid/>
              <w:kern w:val="2"/>
              <w:szCs w:val="24"/>
              <w:highlight w:val="none"/>
              <w:lang w:val="en-US" w:eastAsia="zh-CN"/>
            </w:rPr>
            <w:t xml:space="preserve"> </w:t>
          </w:r>
          <w:r>
            <w:rPr>
              <w:rFonts w:hint="eastAsia" w:ascii="仿宋_GB2312" w:hAnsi="仿宋_GB2312" w:eastAsia="仿宋_GB2312" w:cs="仿宋_GB2312"/>
              <w:snapToGrid/>
              <w:kern w:val="2"/>
              <w:szCs w:val="24"/>
              <w:highlight w:val="none"/>
              <w:lang w:eastAsia="zh-CN"/>
            </w:rPr>
            <w:t>前期准备</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_Toc1951025436 \h </w:instrText>
          </w:r>
          <w:r>
            <w:rPr>
              <w:rFonts w:hint="eastAsia"/>
              <w:snapToGrid/>
              <w:kern w:val="2"/>
              <w:szCs w:val="24"/>
              <w:highlight w:val="none"/>
              <w:lang w:eastAsia="zh-CN"/>
            </w:rPr>
            <w:fldChar w:fldCharType="separate"/>
          </w:r>
          <w:r>
            <w:rPr>
              <w:rFonts w:hint="eastAsia"/>
              <w:snapToGrid/>
              <w:kern w:val="2"/>
              <w:szCs w:val="24"/>
              <w:highlight w:val="none"/>
              <w:lang w:eastAsia="zh-CN"/>
            </w:rPr>
            <w:t>22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_Toc956696809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eastAsia="仿宋_GB2312" w:cs="仿宋_GB2312"/>
              <w:snapToGrid/>
              <w:kern w:val="2"/>
              <w:szCs w:val="24"/>
              <w:highlight w:val="none"/>
              <w:lang w:eastAsia="zh-CN"/>
            </w:rPr>
            <w:t>2. 组织实施</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_Toc956696809 \h </w:instrText>
          </w:r>
          <w:r>
            <w:rPr>
              <w:rFonts w:hint="eastAsia"/>
              <w:snapToGrid/>
              <w:kern w:val="2"/>
              <w:szCs w:val="24"/>
              <w:highlight w:val="none"/>
              <w:lang w:eastAsia="zh-CN"/>
            </w:rPr>
            <w:fldChar w:fldCharType="separate"/>
          </w:r>
          <w:r>
            <w:rPr>
              <w:rFonts w:hint="eastAsia"/>
              <w:snapToGrid/>
              <w:kern w:val="2"/>
              <w:szCs w:val="24"/>
              <w:highlight w:val="none"/>
              <w:lang w:eastAsia="zh-CN"/>
            </w:rPr>
            <w:t>23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_Toc993203774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（四）绩效评价依据</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_Toc993203774 \h </w:instrText>
          </w:r>
          <w:r>
            <w:rPr>
              <w:rFonts w:hint="eastAsia"/>
              <w:snapToGrid/>
              <w:kern w:val="2"/>
              <w:szCs w:val="24"/>
              <w:highlight w:val="none"/>
              <w:lang w:eastAsia="zh-CN"/>
            </w:rPr>
            <w:fldChar w:fldCharType="separate"/>
          </w:r>
          <w:r>
            <w:rPr>
              <w:rFonts w:hint="eastAsia"/>
              <w:snapToGrid/>
              <w:kern w:val="2"/>
              <w:szCs w:val="24"/>
              <w:highlight w:val="none"/>
              <w:lang w:eastAsia="zh-CN"/>
            </w:rPr>
            <w:t>24</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_Toc385441487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三、绩效评价综合情况及结论</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_Toc385441487 \h </w:instrText>
          </w:r>
          <w:r>
            <w:rPr>
              <w:rFonts w:hint="eastAsia"/>
              <w:snapToGrid/>
              <w:kern w:val="2"/>
              <w:szCs w:val="24"/>
              <w:highlight w:val="none"/>
              <w:lang w:eastAsia="zh-CN"/>
            </w:rPr>
            <w:fldChar w:fldCharType="separate"/>
          </w:r>
          <w:r>
            <w:rPr>
              <w:rFonts w:hint="eastAsia"/>
              <w:snapToGrid/>
              <w:kern w:val="2"/>
              <w:szCs w:val="24"/>
              <w:highlight w:val="none"/>
              <w:lang w:eastAsia="zh-CN"/>
            </w:rPr>
            <w:t>25</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_Toc1304392657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（一）绩效评价综合结论</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_Toc1304392657 \h </w:instrText>
          </w:r>
          <w:r>
            <w:rPr>
              <w:rFonts w:hint="eastAsia"/>
              <w:snapToGrid/>
              <w:kern w:val="2"/>
              <w:szCs w:val="24"/>
              <w:highlight w:val="none"/>
              <w:lang w:eastAsia="zh-CN"/>
            </w:rPr>
            <w:fldChar w:fldCharType="separate"/>
          </w:r>
          <w:r>
            <w:rPr>
              <w:rFonts w:hint="eastAsia"/>
              <w:snapToGrid/>
              <w:kern w:val="2"/>
              <w:szCs w:val="24"/>
              <w:highlight w:val="none"/>
              <w:lang w:eastAsia="zh-CN"/>
            </w:rPr>
            <w:t>25</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_Toc1414317623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二</w:t>
          </w:r>
          <w:r>
            <w:rPr>
              <w:rFonts w:hint="eastAsia"/>
              <w:snapToGrid/>
              <w:kern w:val="2"/>
              <w:szCs w:val="24"/>
              <w:highlight w:val="none"/>
              <w:lang w:eastAsia="zh-CN"/>
            </w:rPr>
            <w:t>）绩效</w:t>
          </w:r>
          <w:r>
            <w:rPr>
              <w:rFonts w:hint="eastAsia"/>
              <w:snapToGrid/>
              <w:kern w:val="2"/>
              <w:szCs w:val="24"/>
              <w:highlight w:val="none"/>
              <w:lang w:val="en-US" w:eastAsia="zh-CN"/>
            </w:rPr>
            <w:t>目标</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_Toc1414317623 \h </w:instrText>
          </w:r>
          <w:r>
            <w:rPr>
              <w:rFonts w:hint="eastAsia"/>
              <w:snapToGrid/>
              <w:kern w:val="2"/>
              <w:szCs w:val="24"/>
              <w:highlight w:val="none"/>
              <w:lang w:eastAsia="zh-CN"/>
            </w:rPr>
            <w:fldChar w:fldCharType="separate"/>
          </w:r>
          <w:r>
            <w:rPr>
              <w:rFonts w:hint="eastAsia"/>
              <w:snapToGrid/>
              <w:kern w:val="2"/>
              <w:szCs w:val="24"/>
              <w:highlight w:val="none"/>
              <w:lang w:eastAsia="zh-CN"/>
            </w:rPr>
            <w:t>26</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_Toc2087284765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四、绩效评价分析</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_Toc2087284765 \h </w:instrText>
          </w:r>
          <w:r>
            <w:rPr>
              <w:rFonts w:hint="eastAsia"/>
              <w:snapToGrid/>
              <w:kern w:val="2"/>
              <w:szCs w:val="24"/>
              <w:highlight w:val="none"/>
              <w:lang w:eastAsia="zh-CN"/>
            </w:rPr>
            <w:fldChar w:fldCharType="separate"/>
          </w:r>
          <w:r>
            <w:rPr>
              <w:rFonts w:hint="eastAsia"/>
              <w:snapToGrid/>
              <w:kern w:val="2"/>
              <w:szCs w:val="24"/>
              <w:highlight w:val="none"/>
              <w:lang w:eastAsia="zh-CN"/>
            </w:rPr>
            <w:t>33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_Toc1849671610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（一）项目决策情况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_Toc1849671610 \h </w:instrText>
          </w:r>
          <w:r>
            <w:rPr>
              <w:rFonts w:hint="eastAsia"/>
              <w:snapToGrid/>
              <w:kern w:val="2"/>
              <w:szCs w:val="24"/>
              <w:highlight w:val="none"/>
              <w:lang w:eastAsia="zh-CN"/>
            </w:rPr>
            <w:fldChar w:fldCharType="separate"/>
          </w:r>
          <w:r>
            <w:rPr>
              <w:rFonts w:hint="eastAsia"/>
              <w:snapToGrid/>
              <w:kern w:val="2"/>
              <w:szCs w:val="24"/>
              <w:highlight w:val="none"/>
              <w:lang w:eastAsia="zh-CN"/>
            </w:rPr>
            <w:t>33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_Toc457475298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（二）管理情况分析</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_Toc457475298 \h </w:instrText>
          </w:r>
          <w:r>
            <w:rPr>
              <w:rFonts w:hint="eastAsia"/>
              <w:snapToGrid/>
              <w:kern w:val="2"/>
              <w:szCs w:val="24"/>
              <w:highlight w:val="none"/>
              <w:lang w:eastAsia="zh-CN"/>
            </w:rPr>
            <w:fldChar w:fldCharType="separate"/>
          </w:r>
          <w:r>
            <w:rPr>
              <w:rFonts w:hint="eastAsia"/>
              <w:snapToGrid/>
              <w:kern w:val="2"/>
              <w:szCs w:val="24"/>
              <w:highlight w:val="none"/>
              <w:lang w:eastAsia="zh-CN"/>
            </w:rPr>
            <w:t>36</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_Toc795877226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（三）产出情况分析</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_Toc795877226 \h </w:instrText>
          </w:r>
          <w:r>
            <w:rPr>
              <w:rFonts w:hint="eastAsia"/>
              <w:snapToGrid/>
              <w:kern w:val="2"/>
              <w:szCs w:val="24"/>
              <w:highlight w:val="none"/>
              <w:lang w:eastAsia="zh-CN"/>
            </w:rPr>
            <w:fldChar w:fldCharType="separate"/>
          </w:r>
          <w:r>
            <w:rPr>
              <w:rFonts w:hint="eastAsia"/>
              <w:snapToGrid/>
              <w:kern w:val="2"/>
              <w:szCs w:val="24"/>
              <w:highlight w:val="none"/>
              <w:lang w:eastAsia="zh-CN"/>
            </w:rPr>
            <w:t>38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_Toc1780383866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（四）效益情况分析</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_Toc1780383866 \h </w:instrText>
          </w:r>
          <w:r>
            <w:rPr>
              <w:rFonts w:hint="eastAsia"/>
              <w:snapToGrid/>
              <w:kern w:val="2"/>
              <w:szCs w:val="24"/>
              <w:highlight w:val="none"/>
              <w:lang w:eastAsia="zh-CN"/>
            </w:rPr>
            <w:fldChar w:fldCharType="separate"/>
          </w:r>
          <w:r>
            <w:rPr>
              <w:rFonts w:hint="eastAsia"/>
              <w:snapToGrid/>
              <w:kern w:val="2"/>
              <w:szCs w:val="24"/>
              <w:highlight w:val="none"/>
              <w:lang w:eastAsia="zh-CN"/>
            </w:rPr>
            <w:t>40</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_Toc2021982211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五、主要经验及做法</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_Toc2021982211 \h </w:instrText>
          </w:r>
          <w:r>
            <w:rPr>
              <w:rFonts w:hint="eastAsia"/>
              <w:snapToGrid/>
              <w:kern w:val="2"/>
              <w:szCs w:val="24"/>
              <w:highlight w:val="none"/>
              <w:lang w:eastAsia="zh-CN"/>
            </w:rPr>
            <w:fldChar w:fldCharType="separate"/>
          </w:r>
          <w:r>
            <w:rPr>
              <w:rFonts w:hint="eastAsia"/>
              <w:snapToGrid/>
              <w:kern w:val="2"/>
              <w:szCs w:val="24"/>
              <w:highlight w:val="none"/>
              <w:lang w:eastAsia="zh-CN"/>
            </w:rPr>
            <w:t>41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_Toc1673790149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六、存在问题及原因分析</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_Toc1673790149 \h </w:instrText>
          </w:r>
          <w:r>
            <w:rPr>
              <w:rFonts w:hint="eastAsia"/>
              <w:snapToGrid/>
              <w:kern w:val="2"/>
              <w:szCs w:val="24"/>
              <w:highlight w:val="none"/>
              <w:lang w:eastAsia="zh-CN"/>
            </w:rPr>
            <w:fldChar w:fldCharType="separate"/>
          </w:r>
          <w:r>
            <w:rPr>
              <w:rFonts w:hint="eastAsia"/>
              <w:snapToGrid/>
              <w:kern w:val="2"/>
              <w:szCs w:val="24"/>
              <w:highlight w:val="none"/>
              <w:lang w:eastAsia="zh-CN"/>
            </w:rPr>
            <w:t>42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_Toc1502742190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val="en-US" w:eastAsia="zh-CN"/>
            </w:rPr>
            <w:t>（一）</w:t>
          </w:r>
          <w:r>
            <w:rPr>
              <w:rFonts w:hint="eastAsia"/>
              <w:snapToGrid/>
              <w:kern w:val="2"/>
              <w:szCs w:val="24"/>
              <w:highlight w:val="none"/>
              <w:lang w:eastAsia="zh-CN"/>
            </w:rPr>
            <w:t>预算编制科学性有待提升</w:t>
          </w:r>
          <w:r>
            <w:rPr>
              <w:rFonts w:hint="eastAsia"/>
              <w:snapToGrid/>
              <w:kern w:val="2"/>
              <w:szCs w:val="24"/>
              <w:highlight w:val="none"/>
              <w:lang w:eastAsia="zh-CN"/>
            </w:rPr>
            <w:tab/>
          </w:r>
          <w:r>
            <w:rPr>
              <w:rFonts w:hint="eastAsia" w:ascii="仿宋_GB2312" w:hAnsi="仿宋_GB2312" w:eastAsia="仿宋_GB2312" w:cs="仿宋_GB2312"/>
              <w:snapToGrid/>
              <w:kern w:val="2"/>
              <w:szCs w:val="24"/>
              <w:highlight w:val="none"/>
              <w:lang w:eastAsia="zh-CN"/>
            </w:rPr>
            <w:fldChar w:fldCharType="end"/>
          </w:r>
          <w:r>
            <w:rPr>
              <w:rFonts w:hint="eastAsia"/>
              <w:snapToGrid/>
              <w:kern w:val="2"/>
              <w:szCs w:val="24"/>
              <w:highlight w:val="none"/>
              <w:lang w:val="en-US" w:eastAsia="zh-CN"/>
            </w:rPr>
            <w:t>39</w:t>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_Toc1398054458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七、相关建议</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_Toc1398054458 \h </w:instrText>
          </w:r>
          <w:r>
            <w:rPr>
              <w:rFonts w:hint="eastAsia"/>
              <w:snapToGrid/>
              <w:kern w:val="2"/>
              <w:szCs w:val="24"/>
              <w:highlight w:val="none"/>
              <w:lang w:eastAsia="zh-CN"/>
            </w:rPr>
            <w:fldChar w:fldCharType="separate"/>
          </w:r>
          <w:r>
            <w:rPr>
              <w:rFonts w:hint="eastAsia"/>
              <w:snapToGrid/>
              <w:kern w:val="2"/>
              <w:szCs w:val="24"/>
              <w:highlight w:val="none"/>
              <w:lang w:eastAsia="zh-CN"/>
            </w:rPr>
            <w:t>42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autoSpaceDE/>
            <w:autoSpaceDN/>
            <w:adjustRightInd/>
            <w:snapToGrid/>
            <w:spacing w:before="0"/>
            <w:ind w:firstLine="0" w:firstLineChars="0"/>
            <w:textAlignment w:val="auto"/>
            <w:rPr>
              <w:rFonts w:hint="eastAsia" w:eastAsia="仿宋_GB2312"/>
              <w:snapToGrid/>
              <w:kern w:val="2"/>
              <w:szCs w:val="24"/>
              <w:highlight w:val="none"/>
              <w:lang w:val="en-US"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_Toc1482693779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w:t>
          </w:r>
          <w:r>
            <w:rPr>
              <w:rFonts w:hint="eastAsia"/>
              <w:snapToGrid/>
              <w:kern w:val="2"/>
              <w:szCs w:val="24"/>
              <w:highlight w:val="none"/>
              <w:lang w:val="en-US" w:eastAsia="zh-CN"/>
            </w:rPr>
            <w:t>一</w:t>
          </w:r>
          <w:r>
            <w:rPr>
              <w:rFonts w:hint="eastAsia"/>
              <w:snapToGrid/>
              <w:kern w:val="2"/>
              <w:szCs w:val="24"/>
              <w:highlight w:val="none"/>
              <w:lang w:eastAsia="zh-CN"/>
            </w:rPr>
            <w:t>）统一预算编制口径，加强部门间沟通与协调，加强项目前期调研和评估。</w:t>
          </w:r>
          <w:r>
            <w:rPr>
              <w:rFonts w:hint="eastAsia"/>
              <w:snapToGrid/>
              <w:kern w:val="2"/>
              <w:szCs w:val="24"/>
              <w:highlight w:val="none"/>
              <w:lang w:eastAsia="zh-CN"/>
            </w:rPr>
            <w:tab/>
          </w:r>
          <w:r>
            <w:rPr>
              <w:rFonts w:hint="eastAsia" w:ascii="仿宋_GB2312" w:hAnsi="仿宋_GB2312" w:eastAsia="仿宋_GB2312" w:cs="仿宋_GB2312"/>
              <w:snapToGrid/>
              <w:kern w:val="2"/>
              <w:szCs w:val="24"/>
              <w:highlight w:val="none"/>
              <w:lang w:eastAsia="zh-CN"/>
            </w:rPr>
            <w:fldChar w:fldCharType="end"/>
          </w:r>
          <w:r>
            <w:rPr>
              <w:rFonts w:hint="eastAsia"/>
              <w:snapToGrid/>
              <w:kern w:val="2"/>
              <w:szCs w:val="24"/>
              <w:highlight w:val="none"/>
              <w:lang w:val="en-US" w:eastAsia="zh-CN"/>
            </w:rPr>
            <w:t>40</w:t>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_Toc1283908297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八、绩效评价结果应用建议</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_Toc1283908297 \h </w:instrText>
          </w:r>
          <w:r>
            <w:rPr>
              <w:rFonts w:hint="eastAsia"/>
              <w:snapToGrid/>
              <w:kern w:val="2"/>
              <w:szCs w:val="24"/>
              <w:highlight w:val="none"/>
              <w:lang w:eastAsia="zh-CN"/>
            </w:rPr>
            <w:fldChar w:fldCharType="separate"/>
          </w:r>
          <w:r>
            <w:rPr>
              <w:rFonts w:hint="eastAsia"/>
              <w:snapToGrid/>
              <w:kern w:val="2"/>
              <w:szCs w:val="24"/>
              <w:highlight w:val="none"/>
              <w:lang w:eastAsia="zh-CN"/>
            </w:rPr>
            <w:t>42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_Toc731062623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（一）对评价中发现的问题进行整改</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_Toc731062623 \h </w:instrText>
          </w:r>
          <w:r>
            <w:rPr>
              <w:rFonts w:hint="eastAsia"/>
              <w:snapToGrid/>
              <w:kern w:val="2"/>
              <w:szCs w:val="24"/>
              <w:highlight w:val="none"/>
              <w:lang w:eastAsia="zh-CN"/>
            </w:rPr>
            <w:fldChar w:fldCharType="separate"/>
          </w:r>
          <w:r>
            <w:rPr>
              <w:rFonts w:hint="eastAsia"/>
              <w:snapToGrid/>
              <w:kern w:val="2"/>
              <w:szCs w:val="24"/>
              <w:highlight w:val="none"/>
              <w:lang w:eastAsia="zh-CN"/>
            </w:rPr>
            <w:t>42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_Toc1215560274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（二）完善绩效管理激励约束机制</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_Toc1215560274 \h </w:instrText>
          </w:r>
          <w:r>
            <w:rPr>
              <w:rFonts w:hint="eastAsia"/>
              <w:snapToGrid/>
              <w:kern w:val="2"/>
              <w:szCs w:val="24"/>
              <w:highlight w:val="none"/>
              <w:lang w:eastAsia="zh-CN"/>
            </w:rPr>
            <w:fldChar w:fldCharType="separate"/>
          </w:r>
          <w:r>
            <w:rPr>
              <w:rFonts w:hint="eastAsia"/>
              <w:snapToGrid/>
              <w:kern w:val="2"/>
              <w:szCs w:val="24"/>
              <w:highlight w:val="none"/>
              <w:lang w:eastAsia="zh-CN"/>
            </w:rPr>
            <w:t>42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_Toc909591207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（三）评价结果公开</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_Toc909591207 \h </w:instrText>
          </w:r>
          <w:r>
            <w:rPr>
              <w:rFonts w:hint="eastAsia"/>
              <w:snapToGrid/>
              <w:kern w:val="2"/>
              <w:szCs w:val="24"/>
              <w:highlight w:val="none"/>
              <w:lang w:eastAsia="zh-CN"/>
            </w:rPr>
            <w:fldChar w:fldCharType="separate"/>
          </w:r>
          <w:r>
            <w:rPr>
              <w:rFonts w:hint="eastAsia"/>
              <w:snapToGrid/>
              <w:kern w:val="2"/>
              <w:szCs w:val="24"/>
              <w:highlight w:val="none"/>
              <w:lang w:eastAsia="zh-CN"/>
            </w:rPr>
            <w:t>43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_Toc1710816703 </w:instrText>
          </w:r>
          <w:r>
            <w:rPr>
              <w:rFonts w:hint="eastAsia" w:ascii="仿宋_GB2312" w:hAnsi="仿宋_GB2312" w:eastAsia="仿宋_GB2312" w:cs="仿宋_GB2312"/>
              <w:snapToGrid/>
              <w:kern w:val="2"/>
              <w:szCs w:val="24"/>
              <w:highlight w:val="none"/>
              <w:lang w:eastAsia="zh-CN"/>
            </w:rPr>
            <w:fldChar w:fldCharType="separate"/>
          </w:r>
          <w:r>
            <w:rPr>
              <w:rFonts w:hint="eastAsia" w:ascii="仿宋_GB2312" w:hAnsi="仿宋_GB2312" w:cs="仿宋_GB2312"/>
              <w:snapToGrid/>
              <w:kern w:val="2"/>
              <w:szCs w:val="24"/>
              <w:highlight w:val="none"/>
              <w:lang w:eastAsia="zh-CN"/>
            </w:rPr>
            <w:t>九、其他需要说明的情况</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_Toc1710816703 \h </w:instrText>
          </w:r>
          <w:r>
            <w:rPr>
              <w:rFonts w:hint="eastAsia"/>
              <w:snapToGrid/>
              <w:kern w:val="2"/>
              <w:szCs w:val="24"/>
              <w:highlight w:val="none"/>
              <w:lang w:eastAsia="zh-CN"/>
            </w:rPr>
            <w:fldChar w:fldCharType="separate"/>
          </w:r>
          <w:r>
            <w:rPr>
              <w:rFonts w:hint="eastAsia"/>
              <w:snapToGrid/>
              <w:kern w:val="2"/>
              <w:szCs w:val="24"/>
              <w:highlight w:val="none"/>
              <w:lang w:eastAsia="zh-CN"/>
            </w:rPr>
            <w:t>43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_Toc1037777638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（一）关于评价责任的说明</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_Toc1037777638 \h </w:instrText>
          </w:r>
          <w:r>
            <w:rPr>
              <w:rFonts w:hint="eastAsia"/>
              <w:snapToGrid/>
              <w:kern w:val="2"/>
              <w:szCs w:val="24"/>
              <w:highlight w:val="none"/>
              <w:lang w:eastAsia="zh-CN"/>
            </w:rPr>
            <w:fldChar w:fldCharType="separate"/>
          </w:r>
          <w:r>
            <w:rPr>
              <w:rFonts w:hint="eastAsia"/>
              <w:snapToGrid/>
              <w:kern w:val="2"/>
              <w:szCs w:val="24"/>
              <w:highlight w:val="none"/>
              <w:lang w:eastAsia="zh-CN"/>
            </w:rPr>
            <w:t>43</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_Toc66580932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（二）本次绩效评价的局限性</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_Toc66580932 \h </w:instrText>
          </w:r>
          <w:r>
            <w:rPr>
              <w:rFonts w:hint="eastAsia"/>
              <w:snapToGrid/>
              <w:kern w:val="2"/>
              <w:szCs w:val="24"/>
              <w:highlight w:val="none"/>
              <w:lang w:eastAsia="zh-CN"/>
            </w:rPr>
            <w:fldChar w:fldCharType="separate"/>
          </w:r>
          <w:r>
            <w:rPr>
              <w:rFonts w:hint="eastAsia"/>
              <w:snapToGrid/>
              <w:kern w:val="2"/>
              <w:szCs w:val="24"/>
              <w:highlight w:val="none"/>
              <w:lang w:eastAsia="zh-CN"/>
            </w:rPr>
            <w:t>44</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_Toc186744037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附件1：综合评分表</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_Toc186744037 \h </w:instrText>
          </w:r>
          <w:r>
            <w:rPr>
              <w:rFonts w:hint="eastAsia"/>
              <w:snapToGrid/>
              <w:kern w:val="2"/>
              <w:szCs w:val="24"/>
              <w:highlight w:val="none"/>
              <w:lang w:eastAsia="zh-CN"/>
            </w:rPr>
            <w:fldChar w:fldCharType="separate"/>
          </w:r>
          <w:r>
            <w:rPr>
              <w:rFonts w:hint="eastAsia"/>
              <w:snapToGrid/>
              <w:kern w:val="2"/>
              <w:szCs w:val="24"/>
              <w:highlight w:val="none"/>
              <w:lang w:eastAsia="zh-CN"/>
            </w:rPr>
            <w:t>45</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_Toc1133421592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附件2：绩效评价报告征求部门意见反馈表</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_Toc1133421592 \h </w:instrText>
          </w:r>
          <w:r>
            <w:rPr>
              <w:rFonts w:hint="eastAsia"/>
              <w:snapToGrid/>
              <w:kern w:val="2"/>
              <w:szCs w:val="24"/>
              <w:highlight w:val="none"/>
              <w:lang w:eastAsia="zh-CN"/>
            </w:rPr>
            <w:fldChar w:fldCharType="separate"/>
          </w:r>
          <w:r>
            <w:rPr>
              <w:rFonts w:hint="eastAsia"/>
              <w:snapToGrid/>
              <w:kern w:val="2"/>
              <w:szCs w:val="24"/>
              <w:highlight w:val="none"/>
              <w:lang w:eastAsia="zh-CN"/>
            </w:rPr>
            <w:t>67</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_Toc1236747854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附件3：访谈报告</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_Toc1236747854 \h </w:instrText>
          </w:r>
          <w:r>
            <w:rPr>
              <w:rFonts w:hint="eastAsia"/>
              <w:snapToGrid/>
              <w:kern w:val="2"/>
              <w:szCs w:val="24"/>
              <w:highlight w:val="none"/>
              <w:lang w:eastAsia="zh-CN"/>
            </w:rPr>
            <w:fldChar w:fldCharType="separate"/>
          </w:r>
          <w:r>
            <w:rPr>
              <w:rFonts w:hint="eastAsia"/>
              <w:snapToGrid/>
              <w:kern w:val="2"/>
              <w:szCs w:val="24"/>
              <w:highlight w:val="none"/>
              <w:lang w:eastAsia="zh-CN"/>
            </w:rPr>
            <w:t>68</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_Toc526962865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附件4：满意度调查问卷结果分析报告</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_Toc526962865 \h </w:instrText>
          </w:r>
          <w:r>
            <w:rPr>
              <w:rFonts w:hint="eastAsia"/>
              <w:snapToGrid/>
              <w:kern w:val="2"/>
              <w:szCs w:val="24"/>
              <w:highlight w:val="none"/>
              <w:lang w:eastAsia="zh-CN"/>
            </w:rPr>
            <w:fldChar w:fldCharType="separate"/>
          </w:r>
          <w:r>
            <w:rPr>
              <w:rFonts w:hint="eastAsia"/>
              <w:snapToGrid/>
              <w:kern w:val="2"/>
              <w:szCs w:val="24"/>
              <w:highlight w:val="none"/>
              <w:lang w:eastAsia="zh-CN"/>
            </w:rPr>
            <w:t>71</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_Toc442311827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附件5：现场调研照片</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_Toc442311827 \h </w:instrText>
          </w:r>
          <w:r>
            <w:rPr>
              <w:rFonts w:hint="eastAsia"/>
              <w:snapToGrid/>
              <w:kern w:val="2"/>
              <w:szCs w:val="24"/>
              <w:highlight w:val="none"/>
              <w:lang w:eastAsia="zh-CN"/>
            </w:rPr>
            <w:fldChar w:fldCharType="separate"/>
          </w:r>
          <w:r>
            <w:rPr>
              <w:rFonts w:hint="eastAsia"/>
              <w:snapToGrid/>
              <w:kern w:val="2"/>
              <w:szCs w:val="24"/>
              <w:highlight w:val="none"/>
              <w:lang w:eastAsia="zh-CN"/>
            </w:rPr>
            <w:t>72</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napToGrid/>
            <w:spacing w:before="0"/>
            <w:ind w:firstLine="0" w:firstLineChars="0"/>
            <w:textAlignment w:val="auto"/>
            <w:rPr>
              <w:rFonts w:hint="eastAsia"/>
              <w:snapToGrid/>
              <w:kern w:val="2"/>
              <w:szCs w:val="24"/>
              <w:highlight w:val="none"/>
              <w:lang w:eastAsia="zh-CN"/>
            </w:rPr>
          </w:pPr>
          <w:r>
            <w:rPr>
              <w:rFonts w:hint="eastAsia" w:ascii="仿宋_GB2312" w:hAnsi="仿宋_GB2312" w:eastAsia="仿宋_GB2312" w:cs="仿宋_GB2312"/>
              <w:snapToGrid/>
              <w:kern w:val="2"/>
              <w:szCs w:val="24"/>
              <w:highlight w:val="none"/>
              <w:lang w:eastAsia="zh-CN"/>
            </w:rPr>
            <w:fldChar w:fldCharType="begin"/>
          </w:r>
          <w:r>
            <w:rPr>
              <w:rFonts w:hint="eastAsia" w:ascii="仿宋_GB2312" w:hAnsi="仿宋_GB2312" w:eastAsia="仿宋_GB2312" w:cs="仿宋_GB2312"/>
              <w:snapToGrid/>
              <w:kern w:val="2"/>
              <w:szCs w:val="24"/>
              <w:highlight w:val="none"/>
              <w:lang w:eastAsia="zh-CN"/>
            </w:rPr>
            <w:instrText xml:space="preserve"> HYPERLINK \l _Toc1493974122 </w:instrText>
          </w:r>
          <w:r>
            <w:rPr>
              <w:rFonts w:hint="eastAsia" w:ascii="仿宋_GB2312" w:hAnsi="仿宋_GB2312" w:eastAsia="仿宋_GB2312" w:cs="仿宋_GB2312"/>
              <w:snapToGrid/>
              <w:kern w:val="2"/>
              <w:szCs w:val="24"/>
              <w:highlight w:val="none"/>
              <w:lang w:eastAsia="zh-CN"/>
            </w:rPr>
            <w:fldChar w:fldCharType="separate"/>
          </w:r>
          <w:r>
            <w:rPr>
              <w:rFonts w:hint="eastAsia"/>
              <w:snapToGrid/>
              <w:kern w:val="2"/>
              <w:szCs w:val="24"/>
              <w:highlight w:val="none"/>
              <w:lang w:eastAsia="zh-CN"/>
            </w:rPr>
            <w:t>附件6：项目单位自评</w:t>
          </w:r>
          <w:r>
            <w:rPr>
              <w:rFonts w:hint="eastAsia"/>
              <w:snapToGrid/>
              <w:kern w:val="2"/>
              <w:szCs w:val="24"/>
              <w:highlight w:val="none"/>
              <w:lang w:eastAsia="zh-CN"/>
            </w:rPr>
            <w:tab/>
          </w:r>
          <w:r>
            <w:rPr>
              <w:rFonts w:hint="eastAsia"/>
              <w:snapToGrid/>
              <w:kern w:val="2"/>
              <w:szCs w:val="24"/>
              <w:highlight w:val="none"/>
              <w:lang w:eastAsia="zh-CN"/>
            </w:rPr>
            <w:fldChar w:fldCharType="begin"/>
          </w:r>
          <w:r>
            <w:rPr>
              <w:rFonts w:hint="eastAsia"/>
              <w:snapToGrid/>
              <w:kern w:val="2"/>
              <w:szCs w:val="24"/>
              <w:highlight w:val="none"/>
              <w:lang w:eastAsia="zh-CN"/>
            </w:rPr>
            <w:instrText xml:space="preserve"> PAGEREF _Toc1493974122 \h </w:instrText>
          </w:r>
          <w:r>
            <w:rPr>
              <w:rFonts w:hint="eastAsia"/>
              <w:snapToGrid/>
              <w:kern w:val="2"/>
              <w:szCs w:val="24"/>
              <w:highlight w:val="none"/>
              <w:lang w:eastAsia="zh-CN"/>
            </w:rPr>
            <w:fldChar w:fldCharType="separate"/>
          </w:r>
          <w:r>
            <w:rPr>
              <w:rFonts w:hint="eastAsia"/>
              <w:snapToGrid/>
              <w:kern w:val="2"/>
              <w:szCs w:val="24"/>
              <w:highlight w:val="none"/>
              <w:lang w:eastAsia="zh-CN"/>
            </w:rPr>
            <w:t>74</w:t>
          </w:r>
          <w:r>
            <w:rPr>
              <w:rFonts w:hint="eastAsia"/>
              <w:snapToGrid/>
              <w:kern w:val="2"/>
              <w:szCs w:val="24"/>
              <w:highlight w:val="none"/>
              <w:lang w:eastAsia="zh-CN"/>
            </w:rPr>
            <w:fldChar w:fldCharType="end"/>
          </w:r>
          <w:r>
            <w:rPr>
              <w:rFonts w:hint="eastAsia" w:ascii="仿宋_GB2312" w:hAnsi="仿宋_GB2312" w:eastAsia="仿宋_GB2312" w:cs="仿宋_GB2312"/>
              <w:snapToGrid/>
              <w:kern w:val="2"/>
              <w:szCs w:val="24"/>
              <w:highlight w:val="none"/>
              <w:lang w:eastAsia="zh-CN"/>
            </w:rPr>
            <w:fldChar w:fldCharType="end"/>
          </w:r>
        </w:p>
        <w:p>
          <w:pPr>
            <w:pStyle w:val="16"/>
            <w:widowControl w:val="0"/>
            <w:tabs>
              <w:tab w:val="right" w:leader="dot" w:pos="8306"/>
            </w:tabs>
            <w:kinsoku/>
            <w:autoSpaceDE/>
            <w:autoSpaceDN/>
            <w:adjustRightInd/>
            <w:spacing w:before="0"/>
            <w:ind w:firstLine="0" w:firstLineChars="0"/>
            <w:textAlignment w:val="auto"/>
            <w:rPr>
              <w:rFonts w:hint="default" w:ascii="Times New Roman" w:hAnsi="Times New Roman" w:eastAsia="仿宋_GB2312" w:cs="Times New Roman"/>
              <w:snapToGrid w:val="0"/>
              <w:color w:val="000000"/>
              <w:kern w:val="0"/>
              <w:sz w:val="31"/>
              <w:szCs w:val="21"/>
              <w:highlight w:val="none"/>
              <w:lang w:val="en-US" w:eastAsia="en-US" w:bidi="ar-SA"/>
            </w:rPr>
          </w:pPr>
          <w:r>
            <w:rPr>
              <w:rFonts w:hint="eastAsia" w:ascii="仿宋_GB2312" w:hAnsi="仿宋_GB2312" w:eastAsia="仿宋_GB2312" w:cs="仿宋_GB2312"/>
              <w:snapToGrid/>
              <w:kern w:val="2"/>
              <w:szCs w:val="24"/>
              <w:highlight w:val="none"/>
              <w:lang w:eastAsia="zh-CN"/>
            </w:rPr>
            <w:fldChar w:fldCharType="end"/>
          </w:r>
        </w:p>
      </w:sdtContent>
    </w:sdt>
    <w:p>
      <w:pPr>
        <w:keepNext w:val="0"/>
        <w:keepLines w:val="0"/>
        <w:pageBreakBefore w:val="0"/>
        <w:widowControl/>
        <w:kinsoku w:val="0"/>
        <w:wordWrap/>
        <w:overflowPunct/>
        <w:topLinePunct w:val="0"/>
        <w:autoSpaceDE w:val="0"/>
        <w:autoSpaceDN w:val="0"/>
        <w:bidi w:val="0"/>
        <w:adjustRightInd w:val="0"/>
        <w:snapToGrid/>
        <w:spacing w:line="560" w:lineRule="exact"/>
        <w:ind w:firstLine="0" w:firstLineChars="0"/>
        <w:rPr>
          <w:rFonts w:hint="default" w:ascii="Times New Roman" w:hAnsi="Times New Roman" w:eastAsia="仿宋_GB2312" w:cs="Times New Roman"/>
          <w:sz w:val="21"/>
          <w:highlight w:val="none"/>
        </w:rPr>
        <w:sectPr>
          <w:footerReference r:id="rId8" w:type="default"/>
          <w:pgSz w:w="11906" w:h="16839"/>
          <w:pgMar w:top="1440" w:right="1800" w:bottom="1440" w:left="1800" w:header="0" w:footer="1060" w:gutter="0"/>
          <w:pgNumType w:fmt="decimal" w:start="1"/>
          <w:cols w:space="0" w:num="1"/>
          <w:rtlGutter w:val="0"/>
          <w:docGrid w:linePitch="0" w:charSpace="0"/>
        </w:sectPr>
      </w:pPr>
    </w:p>
    <w:p>
      <w:pPr>
        <w:keepNext w:val="0"/>
        <w:keepLines w:val="0"/>
        <w:pageBreakBefore w:val="0"/>
        <w:widowControl/>
        <w:kinsoku/>
        <w:wordWrap/>
        <w:overflowPunct/>
        <w:topLinePunct w:val="0"/>
        <w:autoSpaceDE/>
        <w:autoSpaceDN/>
        <w:bidi w:val="0"/>
        <w:adjustRightInd/>
        <w:snapToGrid/>
        <w:spacing w:before="0" w:line="240" w:lineRule="auto"/>
        <w:ind w:left="0" w:leftChars="0" w:right="0" w:firstLine="0" w:firstLineChars="0"/>
        <w:jc w:val="center"/>
        <w:outlineLvl w:val="9"/>
        <w:rPr>
          <w:rFonts w:hint="eastAsia" w:ascii="黑体" w:hAnsi="黑体" w:eastAsia="黑体" w:cs="黑体"/>
          <w:b/>
          <w:bCs/>
          <w:sz w:val="52"/>
          <w:szCs w:val="52"/>
          <w:highlight w:val="none"/>
        </w:rPr>
      </w:pPr>
      <w:bookmarkStart w:id="174" w:name="_Toc1528068333"/>
      <w:bookmarkStart w:id="175" w:name="_Toc429626219"/>
      <w:bookmarkStart w:id="176" w:name="_Toc1484166723"/>
      <w:bookmarkStart w:id="177" w:name="_Toc1999691689"/>
      <w:bookmarkStart w:id="178" w:name="_Toc934739521"/>
      <w:bookmarkStart w:id="179" w:name="_Toc515519647"/>
      <w:r>
        <w:rPr>
          <w:rFonts w:hint="eastAsia" w:ascii="黑体" w:hAnsi="黑体" w:eastAsia="黑体" w:cs="黑体"/>
          <w:b/>
          <w:bCs/>
          <w:sz w:val="52"/>
          <w:szCs w:val="52"/>
          <w:highlight w:val="none"/>
          <w:lang w:val="en-US" w:eastAsia="zh-CN"/>
        </w:rPr>
        <w:t>克拉玛依区东彩小学新建工程</w:t>
      </w:r>
      <w:r>
        <w:rPr>
          <w:rFonts w:hint="eastAsia" w:ascii="黑体" w:hAnsi="黑体" w:eastAsia="黑体" w:cs="黑体"/>
          <w:b/>
          <w:bCs/>
          <w:sz w:val="52"/>
          <w:szCs w:val="52"/>
          <w:highlight w:val="none"/>
        </w:rPr>
        <w:t>项目绩效评价报告</w:t>
      </w:r>
      <w:bookmarkEnd w:id="174"/>
      <w:bookmarkEnd w:id="175"/>
      <w:bookmarkEnd w:id="176"/>
      <w:bookmarkEnd w:id="177"/>
      <w:bookmarkEnd w:id="178"/>
      <w:bookmarkEnd w:id="179"/>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为贯彻落实全面实施预算绩效管理，强化预算单位预算绩效管理责任。克拉玛依区财政局委托北京上计会计师事务所（普通合伙）成立绩效评价工作组，于2025年7月14日-</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月</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日对克拉玛依区教育局实施的2024年东彩小学</w:t>
      </w:r>
      <w:r>
        <w:rPr>
          <w:rFonts w:hint="eastAsia" w:ascii="Times New Roman" w:hAnsi="Times New Roman" w:cs="Times New Roman"/>
          <w:highlight w:val="none"/>
          <w:lang w:eastAsia="zh-CN"/>
        </w:rPr>
        <w:t>新建工程</w:t>
      </w:r>
      <w:r>
        <w:rPr>
          <w:rFonts w:hint="default" w:ascii="Times New Roman" w:hAnsi="Times New Roman" w:cs="Times New Roman"/>
          <w:highlight w:val="none"/>
        </w:rPr>
        <w:t>项目资金开展绩效评价，现就评价情况报告如下：</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180" w:name="bookmark1"/>
      <w:bookmarkEnd w:id="180"/>
      <w:bookmarkStart w:id="181" w:name="_Toc1389675131"/>
      <w:bookmarkStart w:id="182" w:name="_Toc1367553556"/>
      <w:bookmarkStart w:id="183" w:name="_Toc1822620514"/>
      <w:bookmarkStart w:id="184" w:name="_Toc699141473"/>
      <w:bookmarkStart w:id="185" w:name="_Toc812488134"/>
      <w:bookmarkStart w:id="186" w:name="_Toc1709942570"/>
      <w:r>
        <w:rPr>
          <w:rFonts w:hint="default" w:ascii="Times New Roman" w:hAnsi="Times New Roman" w:cs="Times New Roman"/>
          <w:highlight w:val="none"/>
        </w:rPr>
        <w:t>一、基本情况</w:t>
      </w:r>
      <w:bookmarkEnd w:id="181"/>
      <w:bookmarkEnd w:id="182"/>
      <w:bookmarkEnd w:id="183"/>
      <w:bookmarkEnd w:id="184"/>
      <w:bookmarkEnd w:id="185"/>
      <w:bookmarkEnd w:id="186"/>
    </w:p>
    <w:p>
      <w:pPr>
        <w:pStyle w:val="4"/>
        <w:bidi w:val="0"/>
        <w:rPr>
          <w:rFonts w:hint="default"/>
          <w:highlight w:val="none"/>
        </w:rPr>
      </w:pPr>
      <w:bookmarkStart w:id="187" w:name="bookmark3"/>
      <w:bookmarkEnd w:id="187"/>
      <w:bookmarkStart w:id="188" w:name="_Toc1378609836"/>
      <w:bookmarkStart w:id="189" w:name="_Toc1076237990"/>
      <w:bookmarkStart w:id="190" w:name="_Toc237781945"/>
      <w:bookmarkStart w:id="191" w:name="_Toc1587703974"/>
      <w:bookmarkStart w:id="192" w:name="_Toc1787040512"/>
      <w:bookmarkStart w:id="193" w:name="_Toc2102625498"/>
      <w:r>
        <w:rPr>
          <w:rFonts w:hint="default"/>
          <w:highlight w:val="none"/>
        </w:rPr>
        <w:t>（一）项目概况</w:t>
      </w:r>
      <w:bookmarkEnd w:id="188"/>
      <w:bookmarkEnd w:id="189"/>
      <w:bookmarkEnd w:id="190"/>
      <w:bookmarkEnd w:id="191"/>
      <w:bookmarkEnd w:id="192"/>
      <w:bookmarkEnd w:id="193"/>
    </w:p>
    <w:p>
      <w:pPr>
        <w:pStyle w:val="5"/>
        <w:pageBreakBefore w:val="0"/>
        <w:wordWrap/>
        <w:overflowPunct/>
        <w:topLinePunct w:val="0"/>
        <w:bidi w:val="0"/>
        <w:snapToGrid/>
        <w:spacing w:line="560" w:lineRule="exact"/>
        <w:rPr>
          <w:rFonts w:hint="eastAsia" w:ascii="仿宋_GB2312" w:hAnsi="仿宋_GB2312" w:eastAsia="仿宋_GB2312" w:cs="仿宋_GB2312"/>
          <w:highlight w:val="none"/>
          <w:lang w:val="en-US" w:eastAsia="zh-CN"/>
        </w:rPr>
      </w:pPr>
      <w:bookmarkStart w:id="194" w:name="_Toc83598242"/>
      <w:bookmarkStart w:id="195" w:name="_Toc77139249"/>
      <w:bookmarkStart w:id="196" w:name="_Toc2081566195"/>
      <w:r>
        <w:rPr>
          <w:rFonts w:hint="eastAsia" w:ascii="仿宋_GB2312" w:hAnsi="仿宋_GB2312" w:eastAsia="仿宋_GB2312" w:cs="仿宋_GB2312"/>
          <w:highlight w:val="none"/>
          <w:lang w:val="en-US" w:eastAsia="zh-CN"/>
        </w:rPr>
        <w:t>1. 项目背景</w:t>
      </w:r>
      <w:bookmarkEnd w:id="194"/>
      <w:bookmarkEnd w:id="195"/>
      <w:bookmarkEnd w:id="196"/>
    </w:p>
    <w:p>
      <w:pPr>
        <w:keepNext w:val="0"/>
        <w:keepLines w:val="0"/>
        <w:pageBreakBefore w:val="0"/>
        <w:widowControl/>
        <w:kinsoku w:val="0"/>
        <w:wordWrap/>
        <w:overflowPunct/>
        <w:topLinePunct w:val="0"/>
        <w:autoSpaceDE w:val="0"/>
        <w:autoSpaceDN w:val="0"/>
        <w:bidi w:val="0"/>
        <w:adjustRightInd w:val="0"/>
        <w:snapToGrid/>
        <w:spacing w:line="560" w:lineRule="exact"/>
        <w:textAlignment w:val="baseline"/>
        <w:rPr>
          <w:rFonts w:hint="default" w:ascii="Times New Roman" w:hAnsi="Times New Roman" w:cs="Times New Roman"/>
          <w:highlight w:val="none"/>
        </w:rPr>
      </w:pPr>
      <w:r>
        <w:rPr>
          <w:rFonts w:hint="default" w:ascii="Times New Roman" w:hAnsi="Times New Roman" w:cs="Times New Roman"/>
          <w:highlight w:val="none"/>
        </w:rPr>
        <w:t>根据《国家中长期教育改革和发展规划纲要（2010-2020年）》、中共中央办公厅 国务院办公厅印发《关于深化教育体制机制改革的意见》（2017年9月24日</w:t>
      </w:r>
      <w:r>
        <w:rPr>
          <w:rFonts w:hint="eastAsia" w:ascii="Times New Roman" w:hAnsi="Times New Roman" w:cs="Times New Roman"/>
          <w:highlight w:val="none"/>
          <w:lang w:eastAsia="zh-CN"/>
        </w:rPr>
        <w:t>文号</w:t>
      </w:r>
      <w:r>
        <w:rPr>
          <w:rFonts w:hint="default" w:ascii="Times New Roman" w:hAnsi="Times New Roman" w:cs="Times New Roman"/>
          <w:highlight w:val="none"/>
        </w:rPr>
        <w:t>）、《中共中央国务院关于深化教育教学改革全面提高义务教育质量的意见》（2019年6月23日</w:t>
      </w:r>
      <w:r>
        <w:rPr>
          <w:rFonts w:hint="eastAsia" w:ascii="Times New Roman" w:hAnsi="Times New Roman" w:cs="Times New Roman"/>
          <w:highlight w:val="none"/>
          <w:lang w:eastAsia="zh-CN"/>
        </w:rPr>
        <w:t>文号</w:t>
      </w:r>
      <w:r>
        <w:rPr>
          <w:rFonts w:hint="default" w:ascii="Times New Roman" w:hAnsi="Times New Roman" w:cs="Times New Roman"/>
          <w:highlight w:val="none"/>
        </w:rPr>
        <w:t>）、《国务院办公厅关于新时代推进普通高中育人方式改革的指导意见》</w:t>
      </w:r>
      <w:r>
        <w:rPr>
          <w:rFonts w:hint="eastAsia" w:ascii="Times New Roman" w:hAnsi="Times New Roman" w:cs="Times New Roman"/>
          <w:highlight w:val="none"/>
          <w:lang w:eastAsia="zh-CN"/>
        </w:rPr>
        <w:t>（</w:t>
      </w:r>
      <w:r>
        <w:rPr>
          <w:rFonts w:hint="default" w:ascii="Times New Roman" w:hAnsi="Times New Roman" w:cs="Times New Roman"/>
          <w:highlight w:val="none"/>
        </w:rPr>
        <w:t>国办发〔2019〕29号</w:t>
      </w:r>
      <w:r>
        <w:rPr>
          <w:rFonts w:hint="eastAsia" w:ascii="Times New Roman" w:hAnsi="Times New Roman" w:cs="Times New Roman"/>
          <w:highlight w:val="none"/>
          <w:lang w:eastAsia="zh-CN"/>
        </w:rPr>
        <w:t>）</w:t>
      </w:r>
      <w:r>
        <w:rPr>
          <w:rFonts w:hint="default" w:ascii="Times New Roman" w:hAnsi="Times New Roman" w:cs="Times New Roman"/>
          <w:highlight w:val="none"/>
        </w:rPr>
        <w:t>、中共中央办公厅</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国务院办公厅印发《加快推进教育现代化实施方案（2018-2022年）》、中共中央</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国务院印发《中国教育现代化2035》、《克拉玛依市国民经济和社会发展第十四个五年规划纲要（2021-2025年）》</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《克拉玛依市“十四五”推进教育现代化加速人才培养模式变革专题研究工作方案》《克拉玛依区教育事业改革与发展“十四五”专项规划（2021-2025）》、《克拉玛依区推进义务教育优质均衡发展工作实施方案》</w:t>
      </w:r>
      <w:r>
        <w:rPr>
          <w:rFonts w:hint="eastAsia" w:ascii="Times New Roman" w:hAnsi="Times New Roman" w:cs="Times New Roman"/>
          <w:highlight w:val="none"/>
          <w:lang w:eastAsia="zh-CN"/>
        </w:rPr>
        <w:t>（</w:t>
      </w:r>
      <w:r>
        <w:rPr>
          <w:rFonts w:hint="default" w:ascii="Times New Roman" w:hAnsi="Times New Roman" w:cs="Times New Roman"/>
          <w:highlight w:val="none"/>
        </w:rPr>
        <w:t>克区政办函〔2022〕2号</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、《克拉玛依市城市总体规划（2014—2030）》、《克拉玛依市东南地区控制性详细规划》</w:t>
      </w:r>
      <w:r>
        <w:rPr>
          <w:rFonts w:hint="eastAsia" w:ascii="Times New Roman" w:hAnsi="Times New Roman" w:cs="Times New Roman"/>
          <w:highlight w:val="none"/>
          <w:lang w:eastAsia="zh-CN"/>
        </w:rPr>
        <w:t>、</w:t>
      </w:r>
      <w:r>
        <w:rPr>
          <w:rFonts w:hint="default" w:ascii="Times New Roman" w:hAnsi="Times New Roman" w:cs="Times New Roman"/>
          <w:highlight w:val="none"/>
        </w:rPr>
        <w:t>《南新湿地二期周边区域控制性详细规划》</w:t>
      </w:r>
      <w:r>
        <w:rPr>
          <w:rFonts w:hint="eastAsia" w:ascii="Times New Roman" w:hAnsi="Times New Roman" w:cs="Times New Roman"/>
          <w:highlight w:val="none"/>
          <w:lang w:eastAsia="zh-CN"/>
        </w:rPr>
        <w:t>、</w:t>
      </w:r>
      <w:r>
        <w:rPr>
          <w:rFonts w:hint="default" w:ascii="Times New Roman" w:hAnsi="Times New Roman" w:cs="Times New Roman"/>
          <w:highlight w:val="none"/>
        </w:rPr>
        <w:t>《中小学校设计规范》（GB50099-2011）</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《克拉玛依市中小学办学条件标准纲要》、“克拉玛依市 2022 年国民经济和社会发展统计公报”等各项工作要求以及主要发展目标，牢牢把握学前教育正确发展方向</w:t>
      </w:r>
      <w:r>
        <w:rPr>
          <w:rFonts w:hint="eastAsia" w:ascii="Times New Roman" w:hAnsi="Times New Roman" w:cs="Times New Roman"/>
          <w:highlight w:val="none"/>
          <w:lang w:eastAsia="zh-CN"/>
        </w:rPr>
        <w:t>，</w:t>
      </w:r>
      <w:r>
        <w:rPr>
          <w:rFonts w:hint="default" w:ascii="Times New Roman" w:hAnsi="Times New Roman" w:cs="Times New Roman"/>
          <w:highlight w:val="none"/>
        </w:rPr>
        <w:t>完善学前教育体制机制，健全学前教育政策保障体系，推进学前教育普及普惠安全优质发展，满足人民群众对幼有所育的美好期盼，为培养德智体美劳全面发展的社会主义建设者和接班人奠定坚实基础。</w:t>
      </w:r>
      <w:bookmarkStart w:id="197" w:name="bookmark5"/>
      <w:bookmarkEnd w:id="197"/>
      <w:bookmarkStart w:id="198" w:name="_Toc1004820076"/>
      <w:bookmarkStart w:id="199" w:name="_Toc1094446169"/>
      <w:bookmarkStart w:id="200" w:name="_Toc1430546958"/>
    </w:p>
    <w:p>
      <w:pPr>
        <w:pStyle w:val="5"/>
        <w:pageBreakBefore w:val="0"/>
        <w:numPr>
          <w:ilvl w:val="0"/>
          <w:numId w:val="0"/>
        </w:numPr>
        <w:wordWrap/>
        <w:overflowPunct/>
        <w:topLinePunct w:val="0"/>
        <w:bidi w:val="0"/>
        <w:snapToGrid/>
        <w:spacing w:line="560" w:lineRule="exact"/>
        <w:ind w:leftChars="200"/>
        <w:rPr>
          <w:rFonts w:hint="default" w:ascii="Times New Roman" w:hAnsi="Times New Roman" w:cs="Times New Roman"/>
          <w:highlight w:val="none"/>
          <w:lang w:val="en-US" w:eastAsia="zh-CN"/>
        </w:rPr>
      </w:pPr>
      <w:bookmarkStart w:id="201" w:name="_Toc581348156"/>
      <w:bookmarkStart w:id="202" w:name="_Toc226946088"/>
      <w:bookmarkStart w:id="203" w:name="_Toc1546718802"/>
      <w:r>
        <w:rPr>
          <w:rFonts w:hint="eastAsia" w:ascii="Times New Roman" w:hAnsi="Times New Roman" w:cs="Times New Roman"/>
          <w:highlight w:val="none"/>
          <w:lang w:val="en-US" w:eastAsia="zh-CN"/>
        </w:rPr>
        <w:t xml:space="preserve">2. </w:t>
      </w:r>
      <w:r>
        <w:rPr>
          <w:rFonts w:hint="default" w:ascii="Times New Roman" w:hAnsi="Times New Roman" w:cs="Times New Roman"/>
          <w:highlight w:val="none"/>
          <w:lang w:val="en-US" w:eastAsia="zh-CN"/>
        </w:rPr>
        <w:t>项目主要内容及实施情况</w:t>
      </w:r>
      <w:bookmarkEnd w:id="201"/>
      <w:bookmarkEnd w:id="202"/>
      <w:bookmarkEnd w:id="203"/>
    </w:p>
    <w:p>
      <w:pPr>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项目内容：在南三东路以南</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银杉路以西</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东彩小区金桂园西北侧建设小学一所</w:t>
      </w:r>
      <w:r>
        <w:rPr>
          <w:rFonts w:hint="eastAsia" w:ascii="Times New Roman" w:hAnsi="Times New Roman" w:cs="Times New Roman"/>
          <w:highlight w:val="none"/>
          <w:lang w:val="en-US" w:eastAsia="zh-CN"/>
        </w:rPr>
        <w:t>。</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实施情况：</w:t>
      </w:r>
      <w:r>
        <w:rPr>
          <w:rFonts w:hint="default" w:ascii="Times New Roman" w:hAnsi="Times New Roman" w:cs="Times New Roman"/>
          <w:highlight w:val="none"/>
        </w:rPr>
        <w:t>本工程建设位于克拉玛依区南三东路</w:t>
      </w:r>
      <w:r>
        <w:rPr>
          <w:rFonts w:hint="eastAsia" w:ascii="Times New Roman" w:hAnsi="Times New Roman" w:cs="Times New Roman"/>
          <w:highlight w:val="none"/>
          <w:lang w:eastAsia="zh-CN"/>
        </w:rPr>
        <w:t>、</w:t>
      </w:r>
      <w:r>
        <w:rPr>
          <w:rFonts w:hint="default" w:ascii="Times New Roman" w:hAnsi="Times New Roman" w:cs="Times New Roman"/>
          <w:highlight w:val="none"/>
        </w:rPr>
        <w:t>银杉路以西</w:t>
      </w:r>
      <w:r>
        <w:rPr>
          <w:rFonts w:hint="eastAsia" w:ascii="Times New Roman" w:hAnsi="Times New Roman" w:cs="Times New Roman"/>
          <w:highlight w:val="none"/>
          <w:lang w:eastAsia="zh-CN"/>
        </w:rPr>
        <w:t>、</w:t>
      </w:r>
      <w:r>
        <w:rPr>
          <w:rFonts w:hint="default" w:ascii="Times New Roman" w:hAnsi="Times New Roman" w:cs="Times New Roman"/>
          <w:highlight w:val="none"/>
        </w:rPr>
        <w:t>东彩小区金桂园西北侧。规划用地面积47386.53m²</w:t>
      </w:r>
      <w:r>
        <w:rPr>
          <w:rFonts w:hint="eastAsia" w:ascii="Times New Roman" w:hAnsi="Times New Roman" w:cs="Times New Roman"/>
          <w:highlight w:val="none"/>
          <w:lang w:eastAsia="zh-CN"/>
        </w:rPr>
        <w:t>，</w:t>
      </w:r>
      <w:r>
        <w:rPr>
          <w:rFonts w:hint="default" w:ascii="Times New Roman" w:hAnsi="Times New Roman" w:cs="Times New Roman"/>
          <w:highlight w:val="none"/>
        </w:rPr>
        <w:t>总建筑面积17726.03平方米。</w:t>
      </w:r>
      <w:r>
        <w:rPr>
          <w:rFonts w:hint="eastAsia" w:ascii="Times New Roman" w:hAnsi="Times New Roman" w:cs="Times New Roman"/>
          <w:highlight w:val="none"/>
          <w:lang w:eastAsia="zh-CN"/>
        </w:rPr>
        <w:t>与绩效评价情况数据不一致。</w:t>
      </w:r>
      <w:r>
        <w:rPr>
          <w:rFonts w:hint="default" w:ascii="Times New Roman" w:hAnsi="Times New Roman" w:cs="Times New Roman"/>
          <w:highlight w:val="none"/>
        </w:rPr>
        <w:t>主要包括小学教学楼、行政综合楼、报告厅、风雨操场、田径场、操场、篮球场、排球场、门卫室、人防及设备用房、场地及配套附属设施等。1#教学楼及风雨操场面积为10633.54平方米（包括：地下面积1818.90平方米，地上面积8814.64平方米，共5层，含图书室、地下室、体育馆），2#教学楼及综合楼建筑面积为7008.42平方米（包括：地上面积7008.42平方米，共5层，含报告厅、空中连廊），门卫室87.33平方米</w:t>
      </w:r>
      <w:r>
        <w:rPr>
          <w:rFonts w:hint="eastAsia" w:ascii="Times New Roman" w:hAnsi="Times New Roman" w:cs="Times New Roman"/>
          <w:highlight w:val="none"/>
          <w:lang w:val="en-US" w:eastAsia="zh-CN"/>
        </w:rPr>
        <w:t>等</w:t>
      </w:r>
      <w:r>
        <w:rPr>
          <w:rFonts w:hint="default" w:ascii="Times New Roman" w:hAnsi="Times New Roman" w:cs="Times New Roman"/>
          <w:highlight w:val="none"/>
        </w:rPr>
        <w:t>。</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2024年底项目主体结构全部施工完成，二次结构施工完成60%。场地外配套施工完成50%。</w:t>
      </w:r>
    </w:p>
    <w:p>
      <w:pPr>
        <w:pageBreakBefore w:val="0"/>
        <w:kinsoku/>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rPr>
        <w:t>截至2025年8月，施工整体进度完成97.8%。其中，人防工程完成90.5%，1#教学楼完成90.8%，2#教学楼完成99.8%，场地及外配套完成91.8%</w:t>
      </w:r>
      <w:r>
        <w:rPr>
          <w:rFonts w:hint="eastAsia" w:ascii="Times New Roman" w:hAnsi="Times New Roman" w:cs="Times New Roman"/>
          <w:highlight w:val="none"/>
          <w:lang w:eastAsia="zh-CN"/>
        </w:rPr>
        <w:t>。</w:t>
      </w:r>
      <w:r>
        <w:rPr>
          <w:rFonts w:hint="default" w:ascii="Times New Roman" w:hAnsi="Times New Roman" w:cs="Times New Roman"/>
          <w:highlight w:val="none"/>
        </w:rPr>
        <w:t>2#楼家政已进场进行卫生全面清理，准备环境检测工作。</w:t>
      </w:r>
    </w:p>
    <w:bookmarkEnd w:id="198"/>
    <w:bookmarkEnd w:id="199"/>
    <w:bookmarkEnd w:id="200"/>
    <w:p>
      <w:pPr>
        <w:pStyle w:val="5"/>
        <w:keepNext w:val="0"/>
        <w:keepLines w:val="0"/>
        <w:pageBreakBefore w:val="0"/>
        <w:numPr>
          <w:ilvl w:val="0"/>
          <w:numId w:val="0"/>
        </w:numPr>
        <w:wordWrap/>
        <w:overflowPunct/>
        <w:topLinePunct w:val="0"/>
        <w:bidi w:val="0"/>
        <w:snapToGrid/>
        <w:spacing w:line="560" w:lineRule="exact"/>
        <w:ind w:leftChars="200"/>
        <w:rPr>
          <w:rFonts w:hint="default" w:ascii="Times New Roman" w:hAnsi="Times New Roman" w:cs="Times New Roman"/>
          <w:highlight w:val="none"/>
        </w:rPr>
      </w:pPr>
      <w:bookmarkStart w:id="204" w:name="_Toc413358279"/>
      <w:bookmarkStart w:id="205" w:name="_Toc1815347689"/>
      <w:bookmarkStart w:id="206" w:name="_Toc351943944"/>
      <w:r>
        <w:rPr>
          <w:rFonts w:hint="eastAsia" w:ascii="Times New Roman" w:hAnsi="Times New Roman" w:cs="Times New Roman"/>
          <w:highlight w:val="none"/>
          <w:lang w:val="en-US" w:eastAsia="zh-CN"/>
        </w:rPr>
        <w:t xml:space="preserve">3. </w:t>
      </w:r>
      <w:r>
        <w:rPr>
          <w:rFonts w:hint="default" w:ascii="Times New Roman" w:hAnsi="Times New Roman" w:cs="Times New Roman"/>
          <w:highlight w:val="none"/>
          <w:lang w:eastAsia="zh-CN"/>
        </w:rPr>
        <w:t>资金投入和使用情况</w:t>
      </w:r>
      <w:bookmarkEnd w:id="204"/>
      <w:bookmarkEnd w:id="205"/>
      <w:bookmarkEnd w:id="206"/>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2024年5月27日，克拉玛依市财政局印发关于转贷2024年自治区第三批地方政府债券的通知</w:t>
      </w:r>
      <w:r>
        <w:rPr>
          <w:rFonts w:hint="eastAsia" w:ascii="Times New Roman" w:hAnsi="Times New Roman" w:cs="Times New Roman"/>
          <w:highlight w:val="none"/>
          <w:lang w:eastAsia="zh-CN"/>
        </w:rPr>
        <w:t>，</w:t>
      </w:r>
      <w:r>
        <w:rPr>
          <w:rFonts w:hint="default" w:ascii="Times New Roman" w:hAnsi="Times New Roman" w:cs="Times New Roman"/>
          <w:highlight w:val="none"/>
        </w:rPr>
        <w:t>安排一般债券预算资金5000万元，截止2024年12月31日已使用资金5000万元，完成当年预算的100%。</w:t>
      </w:r>
    </w:p>
    <w:p>
      <w:pPr>
        <w:pStyle w:val="4"/>
        <w:bidi w:val="0"/>
        <w:rPr>
          <w:rFonts w:hint="default"/>
          <w:highlight w:val="none"/>
        </w:rPr>
      </w:pPr>
      <w:bookmarkStart w:id="207" w:name="bookmark7"/>
      <w:bookmarkEnd w:id="207"/>
      <w:bookmarkStart w:id="208" w:name="_Toc1248436094"/>
      <w:bookmarkStart w:id="209" w:name="_Toc1159325828"/>
      <w:bookmarkStart w:id="210" w:name="_Toc199617324"/>
      <w:bookmarkStart w:id="211" w:name="_Toc202997108"/>
      <w:bookmarkStart w:id="212" w:name="_Toc2123294941"/>
      <w:bookmarkStart w:id="213" w:name="_Toc951902970"/>
      <w:r>
        <w:rPr>
          <w:rFonts w:hint="default"/>
          <w:highlight w:val="none"/>
        </w:rPr>
        <w:t>（</w:t>
      </w:r>
      <w:r>
        <w:rPr>
          <w:rFonts w:hint="default"/>
          <w:highlight w:val="none"/>
          <w:lang w:val="en-US" w:eastAsia="zh-CN"/>
        </w:rPr>
        <w:t>二</w:t>
      </w:r>
      <w:r>
        <w:rPr>
          <w:rFonts w:hint="default"/>
          <w:highlight w:val="none"/>
        </w:rPr>
        <w:t>）项目组织情况及实施进展情况</w:t>
      </w:r>
      <w:bookmarkEnd w:id="208"/>
      <w:bookmarkEnd w:id="209"/>
      <w:bookmarkEnd w:id="210"/>
      <w:bookmarkEnd w:id="211"/>
      <w:bookmarkEnd w:id="212"/>
      <w:bookmarkEnd w:id="213"/>
    </w:p>
    <w:p>
      <w:pPr>
        <w:pStyle w:val="5"/>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bookmarkStart w:id="214" w:name="_Toc1550200668"/>
      <w:bookmarkStart w:id="215" w:name="_Toc1482311188"/>
      <w:bookmarkStart w:id="216" w:name="_Toc1568362720"/>
      <w:bookmarkStart w:id="217" w:name="_Toc2027530287"/>
      <w:bookmarkStart w:id="218" w:name="_Toc598907854"/>
      <w:r>
        <w:rPr>
          <w:rFonts w:hint="default" w:ascii="Times New Roman" w:hAnsi="Times New Roman" w:eastAsia="仿宋_GB2312" w:cs="Times New Roman"/>
          <w:highlight w:val="none"/>
        </w:rPr>
        <w:t>1</w:t>
      </w:r>
      <w:r>
        <w:rPr>
          <w:rFonts w:hint="eastAsia"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rPr>
        <w:t>项目组织情况</w:t>
      </w:r>
      <w:bookmarkEnd w:id="214"/>
      <w:bookmarkEnd w:id="215"/>
      <w:bookmarkEnd w:id="216"/>
      <w:bookmarkEnd w:id="217"/>
      <w:bookmarkEnd w:id="218"/>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本项目实施过程涉及的单位包括克拉玛依区教育局、永升建设集团有限公司、</w:t>
      </w:r>
      <w:r>
        <w:rPr>
          <w:rFonts w:hint="eastAsia" w:ascii="Times New Roman" w:hAnsi="Times New Roman" w:cs="Times New Roman"/>
          <w:highlight w:val="none"/>
          <w:lang w:eastAsia="zh-CN"/>
        </w:rPr>
        <w:t>新</w:t>
      </w:r>
      <w:r>
        <w:rPr>
          <w:rFonts w:hint="default" w:ascii="Times New Roman" w:hAnsi="Times New Roman" w:cs="Times New Roman"/>
          <w:highlight w:val="none"/>
        </w:rPr>
        <w:t>疆原创城市设计研究（院）有限公司、新疆天麒工程项目管理咨询有限责任公司。各单位职责如下：</w:t>
      </w:r>
    </w:p>
    <w:p>
      <w:pPr>
        <w:pageBreakBefore w:val="0"/>
        <w:kinsoku/>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w:t>
      </w:r>
      <w:r>
        <w:rPr>
          <w:rFonts w:hint="eastAsia" w:ascii="Times New Roman" w:hAnsi="Times New Roman" w:cs="Times New Roman"/>
          <w:highlight w:val="none"/>
          <w:lang w:eastAsia="zh-CN"/>
        </w:rPr>
        <w:t>主管部门</w:t>
      </w:r>
      <w:r>
        <w:rPr>
          <w:rFonts w:hint="default" w:ascii="Times New Roman" w:hAnsi="Times New Roman" w:cs="Times New Roman"/>
          <w:highlight w:val="none"/>
        </w:rPr>
        <w:t>：克拉玛依区教育局，负责项目全面管理、过程监督，重大问题的解决及决策，对学校建设项目实施的组织和协调、按照基本建设程序，组织各类委托、招标工作、负责开展方案设计、初步设计、实施图设计等前期工作；</w:t>
      </w:r>
    </w:p>
    <w:p>
      <w:pPr>
        <w:pageBreakBefore w:val="0"/>
        <w:kinsoku/>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项目实施单位：永升建设集团有限公司，负责项目全套施工设计图纸、设计变更、设计确认书、招标答疑、招标工程量清单等范围内包括的全部施工内容。</w:t>
      </w:r>
    </w:p>
    <w:p>
      <w:pPr>
        <w:pageBreakBefore w:val="0"/>
        <w:kinsoku/>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项目配合单位：</w:t>
      </w:r>
      <w:r>
        <w:rPr>
          <w:rFonts w:hint="eastAsia" w:ascii="Times New Roman" w:hAnsi="Times New Roman" w:cs="Times New Roman"/>
          <w:highlight w:val="none"/>
          <w:lang w:eastAsia="zh-CN"/>
        </w:rPr>
        <w:t>新</w:t>
      </w:r>
      <w:r>
        <w:rPr>
          <w:rFonts w:hint="default" w:ascii="Times New Roman" w:hAnsi="Times New Roman" w:cs="Times New Roman"/>
          <w:highlight w:val="none"/>
        </w:rPr>
        <w:t>疆原创城市设计研究（院）有限公司，负责项目工程勘察、测量、方案设计、初步设计、施工图设计。新疆天麒工程项目管理咨询有限责任公司，负责项目从施工开始到工程质量保修阶段结束为止的监理服务，在此期间对本工程提供建设过程中的质量、进度、费用控制配合工作、安全生产监督管理、合同、信息、设备采购等方面的协调管理等相关监理服务</w:t>
      </w:r>
      <w:r>
        <w:rPr>
          <w:rFonts w:hint="eastAsia" w:ascii="Times New Roman" w:hAnsi="Times New Roman" w:cs="Times New Roman"/>
          <w:highlight w:val="none"/>
          <w:lang w:eastAsia="zh-CN"/>
        </w:rPr>
        <w:t>。</w:t>
      </w:r>
    </w:p>
    <w:p>
      <w:pPr>
        <w:pStyle w:val="5"/>
        <w:pageBreakBefore w:val="0"/>
        <w:widowControl/>
        <w:numPr>
          <w:ilvl w:val="0"/>
          <w:numId w:val="5"/>
        </w:numPr>
        <w:wordWrap/>
        <w:overflowPunct/>
        <w:topLinePunct w:val="0"/>
        <w:bidi w:val="0"/>
        <w:snapToGrid/>
        <w:spacing w:line="560" w:lineRule="exact"/>
        <w:rPr>
          <w:rFonts w:hint="default" w:ascii="Times New Roman" w:hAnsi="Times New Roman" w:eastAsia="仿宋_GB2312" w:cs="Times New Roman"/>
          <w:highlight w:val="none"/>
        </w:rPr>
      </w:pPr>
      <w:bookmarkStart w:id="219" w:name="_Toc431023013"/>
      <w:bookmarkStart w:id="220" w:name="_Toc246347869"/>
      <w:bookmarkStart w:id="221" w:name="_Toc588448689"/>
      <w:bookmarkStart w:id="222" w:name="_Toc1257951762"/>
      <w:bookmarkStart w:id="223" w:name="_Toc951021672"/>
      <w:r>
        <w:rPr>
          <w:rFonts w:hint="default" w:ascii="Times New Roman" w:hAnsi="Times New Roman" w:eastAsia="仿宋_GB2312" w:cs="Times New Roman"/>
          <w:highlight w:val="none"/>
        </w:rPr>
        <w:t>项目实施进展情况</w:t>
      </w:r>
      <w:bookmarkEnd w:id="219"/>
      <w:bookmarkEnd w:id="220"/>
      <w:bookmarkEnd w:id="221"/>
      <w:bookmarkEnd w:id="222"/>
      <w:bookmarkEnd w:id="223"/>
    </w:p>
    <w:p>
      <w:pPr>
        <w:pageBreakBefore w:val="0"/>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2023年10月8日，克拉玛依区发展和改革委员会对《关于克拉玛依市克拉玛依区东彩小学新建工程项目建议书的批复》（克区发改发〔2023〕132号）</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eastAsia" w:ascii="Times New Roman" w:hAnsi="Times New Roman" w:eastAsia="仿宋_GB2312" w:cs="Times New Roman"/>
          <w:highlight w:val="none"/>
          <w:lang w:val="en-US" w:eastAsia="zh-CN"/>
        </w:rPr>
      </w:pPr>
      <w:r>
        <w:rPr>
          <w:rFonts w:hint="default" w:ascii="Times New Roman" w:hAnsi="Times New Roman" w:cs="Times New Roman"/>
          <w:highlight w:val="none"/>
        </w:rPr>
        <w:t>2023年10月</w:t>
      </w:r>
      <w:r>
        <w:rPr>
          <w:rFonts w:hint="eastAsia" w:ascii="Times New Roman" w:hAnsi="Times New Roman" w:cs="Times New Roman"/>
          <w:highlight w:val="none"/>
          <w:lang w:eastAsia="zh-CN"/>
        </w:rPr>
        <w:t>，</w:t>
      </w:r>
      <w:r>
        <w:rPr>
          <w:rFonts w:hint="default" w:ascii="Times New Roman" w:hAnsi="Times New Roman" w:cs="Times New Roman"/>
          <w:highlight w:val="none"/>
        </w:rPr>
        <w:t>新疆原创城市设计研究（院）有限公司编制《克拉玛依市克拉玛依区东彩小学新建工程》可行性研究报告</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2023年10月26日，克拉玛依区发展和改革委员会对《关于克拉玛依市克拉玛依区东彩小学新建工程》可行性研究报告进行了批复（克区发改发〔2023〕191号）</w:t>
      </w:r>
      <w:r>
        <w:rPr>
          <w:rFonts w:hint="eastAsia" w:ascii="Times New Roman" w:hAnsi="Times New Roman" w:cs="Times New Roman"/>
          <w:highlight w:val="none"/>
          <w:lang w:eastAsia="zh-CN"/>
        </w:rPr>
        <w:t>。</w:t>
      </w:r>
      <w:r>
        <w:rPr>
          <w:rFonts w:hint="default" w:ascii="Times New Roman" w:hAnsi="Times New Roman" w:cs="Times New Roman"/>
          <w:highlight w:val="none"/>
        </w:rPr>
        <w:br w:type="textWrapping"/>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2023年11月24日，克拉玛依市</w:t>
      </w:r>
      <w:r>
        <w:rPr>
          <w:rFonts w:hint="eastAsia" w:ascii="Times New Roman" w:hAnsi="Times New Roman" w:cs="Times New Roman"/>
          <w:highlight w:val="none"/>
          <w:lang w:eastAsia="zh-CN"/>
        </w:rPr>
        <w:t>自然</w:t>
      </w:r>
      <w:r>
        <w:rPr>
          <w:rFonts w:hint="default" w:ascii="Times New Roman" w:hAnsi="Times New Roman" w:cs="Times New Roman"/>
          <w:highlight w:val="none"/>
        </w:rPr>
        <w:t>资源局克拉玛依区分局对《克拉玛依市克拉玛依区东彩小学新建工程用地预审与选址意见》（克区自然资预审字〔2023〕065号）原则同意通过用地预审</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2024年4月1日，克拉玛依区发展和改革委员会对《关于克拉玛依市克拉玛依区东彩小学新建工程项目初步设计概算》批复（克区发改发〔2024〕40号）</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2024年5月24日，克拉玛依市自然资源局（克政自然函〔2024136号）向克拉玛依区教育局签发中华人民共和国国有建设用地划拨决定书（项目名称：克拉玛依市克拉玛依区东彩小学新建工程）</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2024年5月3日</w:t>
      </w:r>
      <w:r>
        <w:rPr>
          <w:rFonts w:hint="eastAsia" w:ascii="Times New Roman" w:hAnsi="Times New Roman" w:cs="Times New Roman"/>
          <w:highlight w:val="none"/>
          <w:lang w:eastAsia="zh-CN"/>
        </w:rPr>
        <w:t>，</w:t>
      </w:r>
      <w:r>
        <w:rPr>
          <w:rFonts w:hint="default" w:ascii="Times New Roman" w:hAnsi="Times New Roman" w:cs="Times New Roman"/>
          <w:highlight w:val="none"/>
        </w:rPr>
        <w:t>该项目工程施工中标单位：永升建设集团有限公司施工中标字</w:t>
      </w:r>
      <w:r>
        <w:rPr>
          <w:rFonts w:hint="eastAsia" w:ascii="Times New Roman" w:hAnsi="Times New Roman" w:cs="Times New Roman"/>
          <w:highlight w:val="none"/>
          <w:lang w:eastAsia="zh-CN"/>
        </w:rPr>
        <w:t>〔</w:t>
      </w:r>
      <w:r>
        <w:rPr>
          <w:rFonts w:hint="default" w:ascii="Times New Roman" w:hAnsi="Times New Roman" w:cs="Times New Roman"/>
          <w:highlight w:val="none"/>
        </w:rPr>
        <w:t>6502032024-S004</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2024年5月10日，克拉玛依区教育局</w:t>
      </w:r>
      <w:r>
        <w:rPr>
          <w:rFonts w:hint="eastAsia" w:ascii="Times New Roman" w:hAnsi="Times New Roman" w:cs="Times New Roman"/>
          <w:highlight w:val="none"/>
          <w:lang w:eastAsia="zh-CN"/>
        </w:rPr>
        <w:t>与</w:t>
      </w:r>
      <w:r>
        <w:rPr>
          <w:rFonts w:hint="default" w:ascii="Times New Roman" w:hAnsi="Times New Roman" w:cs="Times New Roman"/>
          <w:highlight w:val="none"/>
        </w:rPr>
        <w:t>永升建设集团有限公司签订了建设工程施工合同，合同金额8876</w:t>
      </w:r>
      <w:r>
        <w:rPr>
          <w:rFonts w:hint="eastAsia" w:ascii="Times New Roman" w:hAnsi="Times New Roman" w:cs="Times New Roman"/>
          <w:highlight w:val="none"/>
          <w:lang w:val="en-US" w:eastAsia="zh-CN"/>
        </w:rPr>
        <w:t>.</w:t>
      </w:r>
      <w:r>
        <w:rPr>
          <w:rFonts w:hint="default" w:ascii="Times New Roman" w:hAnsi="Times New Roman" w:cs="Times New Roman"/>
          <w:highlight w:val="none"/>
        </w:rPr>
        <w:t>9</w:t>
      </w:r>
      <w:r>
        <w:rPr>
          <w:rFonts w:hint="eastAsia" w:ascii="Times New Roman" w:hAnsi="Times New Roman" w:cs="Times New Roman"/>
          <w:highlight w:val="none"/>
          <w:lang w:val="en-US" w:eastAsia="zh-CN"/>
        </w:rPr>
        <w:t>4万</w:t>
      </w:r>
      <w:r>
        <w:rPr>
          <w:rFonts w:hint="default" w:ascii="Times New Roman" w:hAnsi="Times New Roman" w:cs="Times New Roman"/>
          <w:highlight w:val="none"/>
        </w:rPr>
        <w:t>元</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2024年5月31日</w:t>
      </w:r>
      <w:r>
        <w:rPr>
          <w:rFonts w:hint="eastAsia" w:ascii="Times New Roman" w:hAnsi="Times New Roman" w:cs="Times New Roman"/>
          <w:highlight w:val="none"/>
          <w:lang w:eastAsia="zh-CN"/>
        </w:rPr>
        <w:t>，</w:t>
      </w:r>
      <w:r>
        <w:rPr>
          <w:rFonts w:hint="default" w:ascii="Times New Roman" w:hAnsi="Times New Roman" w:cs="Times New Roman"/>
          <w:highlight w:val="none"/>
        </w:rPr>
        <w:t>取得克拉玛依区住房和城乡建设局签发的建筑工程施工许可证（编号：650203202405310101）。</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项目于2024年6月4日开工，计划2025年6月30日完工。</w:t>
      </w:r>
    </w:p>
    <w:p>
      <w:pPr>
        <w:pStyle w:val="5"/>
        <w:pageBreakBefore w:val="0"/>
        <w:widowControl/>
        <w:numPr>
          <w:ilvl w:val="0"/>
          <w:numId w:val="5"/>
        </w:numPr>
        <w:wordWrap/>
        <w:overflowPunct/>
        <w:topLinePunct w:val="0"/>
        <w:bidi w:val="0"/>
        <w:snapToGrid/>
        <w:spacing w:line="560" w:lineRule="exact"/>
        <w:ind w:left="0" w:leftChars="0" w:firstLine="639" w:firstLineChars="200"/>
        <w:rPr>
          <w:rFonts w:hint="default" w:ascii="Times New Roman" w:hAnsi="Times New Roman" w:eastAsia="仿宋_GB2312" w:cs="Times New Roman"/>
          <w:highlight w:val="none"/>
        </w:rPr>
      </w:pPr>
      <w:bookmarkStart w:id="224" w:name="_Toc741438160"/>
      <w:bookmarkStart w:id="225" w:name="_Toc20162867"/>
      <w:bookmarkStart w:id="226" w:name="_Toc894921588"/>
      <w:bookmarkStart w:id="227" w:name="_Toc100456683"/>
      <w:bookmarkStart w:id="228" w:name="_Toc418759219"/>
      <w:r>
        <w:rPr>
          <w:rFonts w:hint="default" w:ascii="Times New Roman" w:hAnsi="Times New Roman" w:eastAsia="仿宋_GB2312" w:cs="Times New Roman"/>
          <w:highlight w:val="none"/>
        </w:rPr>
        <w:t>制度建设情况</w:t>
      </w:r>
      <w:bookmarkEnd w:id="224"/>
      <w:bookmarkEnd w:id="225"/>
      <w:bookmarkEnd w:id="226"/>
      <w:bookmarkEnd w:id="227"/>
      <w:bookmarkEnd w:id="228"/>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克拉玛依</w:t>
      </w:r>
      <w:r>
        <w:rPr>
          <w:rFonts w:hint="eastAsia" w:ascii="Times New Roman" w:hAnsi="Times New Roman" w:cs="Times New Roman"/>
          <w:highlight w:val="none"/>
          <w:lang w:eastAsia="zh-CN"/>
        </w:rPr>
        <w:t>区</w:t>
      </w:r>
      <w:r>
        <w:rPr>
          <w:rFonts w:hint="default" w:ascii="Times New Roman" w:hAnsi="Times New Roman" w:cs="Times New Roman"/>
          <w:highlight w:val="none"/>
        </w:rPr>
        <w:t>教育局具有比较完善的财务和业务管理制度，包括：关于印发《地方政府专项债券项目资金绩效管理办法》的通知</w:t>
      </w:r>
      <w:r>
        <w:rPr>
          <w:rFonts w:hint="eastAsia" w:ascii="Times New Roman" w:hAnsi="Times New Roman" w:cs="Times New Roman"/>
          <w:highlight w:val="none"/>
          <w:lang w:eastAsia="zh-CN"/>
        </w:rPr>
        <w:t>（</w:t>
      </w:r>
      <w:r>
        <w:rPr>
          <w:rFonts w:hint="default" w:ascii="Times New Roman" w:hAnsi="Times New Roman" w:cs="Times New Roman"/>
          <w:highlight w:val="none"/>
        </w:rPr>
        <w:t>财预〔2021〕61号</w:t>
      </w:r>
      <w:r>
        <w:rPr>
          <w:rFonts w:hint="eastAsia" w:ascii="Times New Roman" w:hAnsi="Times New Roman" w:cs="Times New Roman"/>
          <w:highlight w:val="none"/>
          <w:lang w:eastAsia="zh-CN"/>
        </w:rPr>
        <w:t>）</w:t>
      </w:r>
      <w:r>
        <w:rPr>
          <w:rFonts w:hint="default" w:ascii="Times New Roman" w:hAnsi="Times New Roman" w:cs="Times New Roman"/>
          <w:highlight w:val="none"/>
        </w:rPr>
        <w:t>;关于印发《克拉玛依区政府投资项目管理暂行规定》的通知</w:t>
      </w:r>
      <w:r>
        <w:rPr>
          <w:rFonts w:hint="eastAsia" w:ascii="Times New Roman" w:hAnsi="Times New Roman" w:cs="Times New Roman"/>
          <w:highlight w:val="none"/>
          <w:lang w:eastAsia="zh-CN"/>
        </w:rPr>
        <w:t>（</w:t>
      </w:r>
      <w:r>
        <w:rPr>
          <w:rFonts w:hint="default" w:ascii="Times New Roman" w:hAnsi="Times New Roman" w:cs="Times New Roman"/>
          <w:highlight w:val="none"/>
        </w:rPr>
        <w:t>克区政规〔2023〕3号</w:t>
      </w:r>
      <w:r>
        <w:rPr>
          <w:rFonts w:hint="eastAsia" w:ascii="Times New Roman" w:hAnsi="Times New Roman" w:cs="Times New Roman"/>
          <w:highlight w:val="none"/>
          <w:lang w:eastAsia="zh-CN"/>
        </w:rPr>
        <w:t>）</w:t>
      </w:r>
      <w:r>
        <w:rPr>
          <w:rFonts w:hint="default" w:ascii="Times New Roman" w:hAnsi="Times New Roman" w:cs="Times New Roman"/>
          <w:highlight w:val="none"/>
        </w:rPr>
        <w:t>;《克拉玛依区教育局财务管理制度》;《克拉玛依市教育专项资金管理办法》</w:t>
      </w:r>
      <w:r>
        <w:rPr>
          <w:rFonts w:hint="eastAsia" w:ascii="Times New Roman" w:hAnsi="Times New Roman" w:cs="Times New Roman"/>
          <w:highlight w:val="none"/>
          <w:lang w:eastAsia="zh-CN"/>
        </w:rPr>
        <w:t>，</w:t>
      </w:r>
      <w:r>
        <w:rPr>
          <w:rFonts w:hint="default" w:ascii="Times New Roman" w:hAnsi="Times New Roman" w:cs="Times New Roman"/>
          <w:highlight w:val="none"/>
        </w:rPr>
        <w:t>财务和业务管理制度合法、合规。</w:t>
      </w:r>
    </w:p>
    <w:p>
      <w:pPr>
        <w:pStyle w:val="4"/>
        <w:bidi w:val="0"/>
        <w:rPr>
          <w:rFonts w:hint="default"/>
          <w:highlight w:val="none"/>
        </w:rPr>
      </w:pPr>
      <w:bookmarkStart w:id="229" w:name="bookmark9"/>
      <w:bookmarkEnd w:id="229"/>
      <w:bookmarkStart w:id="230" w:name="_Toc1651035226"/>
      <w:bookmarkStart w:id="231" w:name="_Toc2119149575"/>
      <w:bookmarkStart w:id="232" w:name="_Toc670061965"/>
      <w:bookmarkStart w:id="233" w:name="_Toc1722373090"/>
      <w:bookmarkStart w:id="234" w:name="_Toc453324639"/>
      <w:bookmarkStart w:id="235" w:name="_Toc782282514"/>
      <w:r>
        <w:rPr>
          <w:rFonts w:hint="default"/>
          <w:highlight w:val="none"/>
        </w:rPr>
        <w:t>（</w:t>
      </w:r>
      <w:r>
        <w:rPr>
          <w:rFonts w:hint="default"/>
          <w:highlight w:val="none"/>
          <w:lang w:val="en-US" w:eastAsia="zh-CN"/>
        </w:rPr>
        <w:t>三</w:t>
      </w:r>
      <w:r>
        <w:rPr>
          <w:rFonts w:hint="default"/>
          <w:highlight w:val="none"/>
        </w:rPr>
        <w:t>）项目绩效目标情况</w:t>
      </w:r>
      <w:bookmarkEnd w:id="230"/>
      <w:bookmarkEnd w:id="231"/>
      <w:bookmarkEnd w:id="232"/>
      <w:bookmarkEnd w:id="233"/>
      <w:bookmarkEnd w:id="234"/>
      <w:bookmarkEnd w:id="235"/>
    </w:p>
    <w:p>
      <w:pPr>
        <w:pageBreakBefore w:val="0"/>
        <w:wordWrap/>
        <w:overflowPunct/>
        <w:topLinePunct w:val="0"/>
        <w:bidi w:val="0"/>
        <w:snapToGrid/>
        <w:spacing w:line="560" w:lineRule="exact"/>
        <w:rPr>
          <w:rFonts w:hint="default" w:ascii="Times New Roman" w:hAnsi="Times New Roman" w:cs="Times New Roman"/>
          <w:highlight w:val="none"/>
        </w:rPr>
      </w:pPr>
      <w:bookmarkStart w:id="236" w:name="bookmark11"/>
      <w:bookmarkEnd w:id="236"/>
      <w:bookmarkStart w:id="237" w:name="_Toc530621530"/>
      <w:bookmarkStart w:id="238" w:name="_Toc1992445717"/>
      <w:bookmarkStart w:id="239" w:name="_Toc327200887"/>
      <w:r>
        <w:rPr>
          <w:rFonts w:hint="default" w:ascii="Times New Roman" w:hAnsi="Times New Roman" w:cs="Times New Roman"/>
          <w:highlight w:val="none"/>
        </w:rPr>
        <w:t>总目标：</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加强对克拉玛依东南片区的教育基础设施建设，完善东南片区及其周边区域的配套公共教育服务设施，提供容量适当、功能完备、设施齐全的教学场所环境，更好的满足东彩小区及其周边居住区的适龄学生就近入学的需求。从而进一步提升我市教育转型变革成果、加速推进教育现代化进程，统筹推进克拉玛依市十四五教育事业的发展，增强公共教育保障能力，提升教育管理服务水平。项目建成后，克拉玛依区东彩小学主要负责运行管理工作，克拉玛依区教育局、克拉玛依区财政局负责项目运营资金的执行监督、绩效评价。</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阶段性目标：</w:t>
      </w:r>
    </w:p>
    <w:p>
      <w:pPr>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根据克拉玛依区教育局提供的《债券项目绩效目标申报表 （东彩小学）》，本项目2024年项目支出绩效目标表如下：</w:t>
      </w:r>
    </w:p>
    <w:p>
      <w:pPr>
        <w:pageBreakBefore w:val="0"/>
        <w:wordWrap/>
        <w:overflowPunct/>
        <w:topLinePunct w:val="0"/>
        <w:bidi w:val="0"/>
        <w:snapToGrid/>
        <w:spacing w:line="560" w:lineRule="exact"/>
        <w:rPr>
          <w:rFonts w:hint="default" w:ascii="Times New Roman" w:hAnsi="Times New Roman" w:cs="Times New Roman"/>
          <w:highlight w:val="none"/>
          <w:lang w:val="en-US" w:eastAsia="zh-CN"/>
        </w:rPr>
      </w:pPr>
    </w:p>
    <w:tbl>
      <w:tblPr>
        <w:tblStyle w:val="21"/>
        <w:tblW w:w="0" w:type="auto"/>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1585"/>
        <w:gridCol w:w="2095"/>
        <w:gridCol w:w="1997"/>
        <w:gridCol w:w="21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债券项目绩效目标申报表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克拉玛依市克拉玛依区东彩小学新建工程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克拉玛依区教育局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项目资金（万元）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项目总投资：12100.99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年度计划投资：5000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其中：财政拨款: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债券资金:5000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项目目标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项目总体目标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2024年新增一般债券资金5000万元，按照政府债券资金管理要求规范管理使用，于2024年12月内使用完毕。</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2024年新增一般债券资金5000万元，按照政府债券资金管理要求规范管理使用，于2024年12月内使用完毕。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新建（改扩建）学校数量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主城区普惠性中小学校覆盖率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新建或改造校舍质量达标率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政府债券资金规范管理使用率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政府债券资金三个月内形成支出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项目效益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义务教育服务能力、水平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显著增强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义务教育关注度、社会影响力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稳步提升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满意度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师生满意度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家长满意度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≥85%</w:t>
            </w:r>
          </w:p>
        </w:tc>
      </w:tr>
    </w:tbl>
    <w:p>
      <w:pPr>
        <w:pStyle w:val="4"/>
        <w:bidi w:val="0"/>
        <w:rPr>
          <w:rFonts w:hint="default"/>
          <w:highlight w:val="none"/>
        </w:rPr>
      </w:pPr>
      <w:bookmarkStart w:id="240" w:name="_Toc1312840495"/>
      <w:bookmarkStart w:id="241" w:name="_Toc1902711764"/>
      <w:bookmarkStart w:id="242" w:name="_Toc927325864"/>
      <w:r>
        <w:rPr>
          <w:rFonts w:hint="default"/>
          <w:highlight w:val="none"/>
        </w:rPr>
        <w:t>（</w:t>
      </w:r>
      <w:r>
        <w:rPr>
          <w:rFonts w:hint="eastAsia"/>
          <w:highlight w:val="none"/>
          <w:lang w:val="en-US" w:eastAsia="zh-CN"/>
        </w:rPr>
        <w:t>四</w:t>
      </w:r>
      <w:r>
        <w:rPr>
          <w:rFonts w:hint="default"/>
          <w:highlight w:val="none"/>
        </w:rPr>
        <w:t>）绩效自评情况及结论</w:t>
      </w:r>
      <w:bookmarkEnd w:id="237"/>
      <w:bookmarkEnd w:id="238"/>
      <w:bookmarkEnd w:id="239"/>
      <w:bookmarkEnd w:id="240"/>
      <w:bookmarkEnd w:id="241"/>
      <w:bookmarkEnd w:id="242"/>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克拉玛依区东彩小学新建工程项目截至2025年2月28日，完成编制绩效目标自评表，自评报告。</w:t>
      </w:r>
      <w:r>
        <w:rPr>
          <w:rFonts w:hint="eastAsia" w:ascii="Times New Roman" w:hAnsi="Times New Roman" w:eastAsia="仿宋_GB2312" w:cs="Times New Roman"/>
          <w:highlight w:val="none"/>
          <w:lang w:eastAsia="zh-CN"/>
        </w:rPr>
        <w:t>该</w:t>
      </w:r>
      <w:r>
        <w:rPr>
          <w:rFonts w:hint="default" w:ascii="Times New Roman" w:hAnsi="Times New Roman" w:eastAsia="仿宋_GB2312" w:cs="Times New Roman"/>
          <w:highlight w:val="none"/>
        </w:rPr>
        <w:t>项目自评报告得分100分，自评等级为“优”。</w:t>
      </w:r>
    </w:p>
    <w:p>
      <w:pPr>
        <w:pStyle w:val="3"/>
        <w:pageBreakBefore w:val="0"/>
        <w:tabs>
          <w:tab w:val="center" w:pos="4466"/>
        </w:tabs>
        <w:wordWrap/>
        <w:overflowPunct/>
        <w:topLinePunct w:val="0"/>
        <w:bidi w:val="0"/>
        <w:snapToGrid/>
        <w:spacing w:line="560" w:lineRule="exact"/>
        <w:rPr>
          <w:rFonts w:hint="default" w:ascii="Times New Roman" w:hAnsi="Times New Roman" w:eastAsia="黑体" w:cs="Times New Roman"/>
          <w:highlight w:val="none"/>
          <w:lang w:eastAsia="zh-CN"/>
        </w:rPr>
      </w:pPr>
      <w:bookmarkStart w:id="243" w:name="bookmark13"/>
      <w:bookmarkEnd w:id="243"/>
      <w:bookmarkStart w:id="244" w:name="_Toc1276969969"/>
      <w:bookmarkStart w:id="245" w:name="_Toc1322657948"/>
      <w:bookmarkStart w:id="246" w:name="_Toc1803952366"/>
      <w:bookmarkStart w:id="247" w:name="_Toc697630071"/>
      <w:bookmarkStart w:id="248" w:name="_Toc1707171489"/>
      <w:bookmarkStart w:id="249" w:name="_Toc1663210187"/>
      <w:r>
        <w:rPr>
          <w:rFonts w:hint="default" w:ascii="Times New Roman" w:hAnsi="Times New Roman" w:cs="Times New Roman"/>
          <w:highlight w:val="none"/>
        </w:rPr>
        <w:t>二、绩效评价</w:t>
      </w:r>
      <w:r>
        <w:rPr>
          <w:rFonts w:hint="eastAsia" w:ascii="Times New Roman" w:hAnsi="Times New Roman" w:cs="Times New Roman"/>
          <w:highlight w:val="none"/>
          <w:lang w:eastAsia="zh-CN"/>
        </w:rPr>
        <w:t>工作开展</w:t>
      </w:r>
      <w:r>
        <w:rPr>
          <w:rFonts w:hint="default" w:ascii="Times New Roman" w:hAnsi="Times New Roman" w:cs="Times New Roman"/>
          <w:highlight w:val="none"/>
        </w:rPr>
        <w:t>情况</w:t>
      </w:r>
      <w:bookmarkEnd w:id="244"/>
      <w:bookmarkEnd w:id="245"/>
      <w:bookmarkEnd w:id="246"/>
      <w:bookmarkEnd w:id="247"/>
      <w:bookmarkEnd w:id="248"/>
      <w:bookmarkEnd w:id="249"/>
      <w:r>
        <w:rPr>
          <w:rFonts w:hint="default" w:ascii="Times New Roman" w:hAnsi="Times New Roman" w:cs="Times New Roman"/>
          <w:highlight w:val="none"/>
          <w:lang w:eastAsia="zh-CN"/>
        </w:rPr>
        <w:tab/>
      </w:r>
    </w:p>
    <w:p>
      <w:pPr>
        <w:pStyle w:val="4"/>
        <w:bidi w:val="0"/>
        <w:rPr>
          <w:rFonts w:hint="default"/>
          <w:highlight w:val="none"/>
        </w:rPr>
      </w:pPr>
      <w:bookmarkStart w:id="250" w:name="bookmark15"/>
      <w:bookmarkEnd w:id="250"/>
      <w:bookmarkStart w:id="251" w:name="_Toc2049691703"/>
      <w:bookmarkStart w:id="252" w:name="_Toc853287016"/>
      <w:bookmarkStart w:id="253" w:name="_Toc1308901939"/>
      <w:bookmarkStart w:id="254" w:name="_Toc1955374324"/>
      <w:bookmarkStart w:id="255" w:name="_Toc82700865"/>
      <w:bookmarkStart w:id="256" w:name="_Toc1926463557"/>
      <w:r>
        <w:rPr>
          <w:rFonts w:hint="default"/>
          <w:highlight w:val="none"/>
        </w:rPr>
        <w:t>（一）绩效评价目的</w:t>
      </w:r>
      <w:bookmarkEnd w:id="251"/>
      <w:bookmarkEnd w:id="252"/>
      <w:bookmarkEnd w:id="253"/>
      <w:r>
        <w:rPr>
          <w:rFonts w:hint="default"/>
          <w:highlight w:val="none"/>
          <w:lang w:eastAsia="zh-CN"/>
        </w:rPr>
        <w:t>、对象和范围</w:t>
      </w:r>
      <w:bookmarkEnd w:id="254"/>
      <w:bookmarkEnd w:id="255"/>
      <w:bookmarkEnd w:id="256"/>
    </w:p>
    <w:p>
      <w:pPr>
        <w:pStyle w:val="5"/>
        <w:pageBreakBefore w:val="0"/>
        <w:wordWrap/>
        <w:overflowPunct/>
        <w:topLinePunct w:val="0"/>
        <w:bidi w:val="0"/>
        <w:snapToGrid/>
        <w:spacing w:line="560" w:lineRule="exact"/>
        <w:rPr>
          <w:rFonts w:hint="default" w:ascii="Times New Roman" w:hAnsi="Times New Roman" w:cs="Times New Roman"/>
          <w:highlight w:val="none"/>
        </w:rPr>
      </w:pPr>
      <w:bookmarkStart w:id="257" w:name="_Toc531518446"/>
      <w:bookmarkStart w:id="258" w:name="_Toc1034013427"/>
      <w:bookmarkStart w:id="259" w:name="_Toc462056680"/>
      <w:r>
        <w:rPr>
          <w:rFonts w:hint="default" w:ascii="Times New Roman" w:hAnsi="Times New Roman" w:cs="Times New Roman"/>
          <w:highlight w:val="none"/>
          <w:lang w:val="en-US" w:eastAsia="zh-CN"/>
        </w:rPr>
        <w:t>1.</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绩效评价目的</w:t>
      </w:r>
      <w:bookmarkEnd w:id="257"/>
      <w:bookmarkEnd w:id="258"/>
      <w:bookmarkEnd w:id="259"/>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b/>
          <w:bCs/>
          <w:highlight w:val="none"/>
        </w:rPr>
        <w:t>一是</w:t>
      </w:r>
      <w:r>
        <w:rPr>
          <w:rFonts w:hint="default" w:ascii="Times New Roman" w:hAnsi="Times New Roman" w:cs="Times New Roman"/>
          <w:highlight w:val="none"/>
        </w:rPr>
        <w:t>掌握项目实施整体情况。根据设定的绩效目标，实地考察项目实施情况，并进行全面、客观、科学、公正地评价，为进一步做好克拉玛依区类似项目提供参考依据。</w:t>
      </w:r>
      <w:r>
        <w:rPr>
          <w:rFonts w:hint="default" w:ascii="Times New Roman" w:hAnsi="Times New Roman" w:cs="Times New Roman"/>
          <w:b/>
          <w:bCs/>
          <w:highlight w:val="none"/>
        </w:rPr>
        <w:t>二是</w:t>
      </w:r>
      <w:r>
        <w:rPr>
          <w:rFonts w:hint="default" w:ascii="Times New Roman" w:hAnsi="Times New Roman" w:cs="Times New Roman"/>
          <w:highlight w:val="none"/>
        </w:rPr>
        <w:t>推动东彩小学</w:t>
      </w:r>
      <w:r>
        <w:rPr>
          <w:rFonts w:hint="eastAsia" w:ascii="Times New Roman" w:hAnsi="Times New Roman" w:cs="Times New Roman"/>
          <w:highlight w:val="none"/>
          <w:lang w:eastAsia="zh-CN"/>
        </w:rPr>
        <w:t>新建工程</w:t>
      </w:r>
      <w:r>
        <w:rPr>
          <w:rFonts w:hint="default" w:ascii="Times New Roman" w:hAnsi="Times New Roman" w:cs="Times New Roman"/>
          <w:highlight w:val="none"/>
        </w:rPr>
        <w:t>项目取得实效，确保项目单位能够科学、规范地高质量完成目标任务。</w:t>
      </w:r>
      <w:r>
        <w:rPr>
          <w:rFonts w:hint="default" w:ascii="Times New Roman" w:hAnsi="Times New Roman" w:cs="Times New Roman"/>
          <w:b/>
          <w:bCs/>
          <w:highlight w:val="none"/>
        </w:rPr>
        <w:t>三是</w:t>
      </w:r>
      <w:r>
        <w:rPr>
          <w:rFonts w:hint="default" w:ascii="Times New Roman" w:hAnsi="Times New Roman" w:cs="Times New Roman"/>
          <w:highlight w:val="none"/>
        </w:rPr>
        <w:t>提高资金利用率，充分发挥财政资金使用效益。</w:t>
      </w:r>
    </w:p>
    <w:p>
      <w:pPr>
        <w:pStyle w:val="5"/>
        <w:pageBreakBefore w:val="0"/>
        <w:numPr>
          <w:ilvl w:val="0"/>
          <w:numId w:val="6"/>
        </w:numPr>
        <w:wordWrap/>
        <w:overflowPunct/>
        <w:topLinePunct w:val="0"/>
        <w:bidi w:val="0"/>
        <w:snapToGrid/>
        <w:spacing w:line="560" w:lineRule="exact"/>
        <w:rPr>
          <w:rFonts w:hint="default" w:ascii="Times New Roman" w:hAnsi="Times New Roman" w:cs="Times New Roman"/>
          <w:highlight w:val="none"/>
        </w:rPr>
      </w:pPr>
      <w:bookmarkStart w:id="260" w:name="bookmark17"/>
      <w:bookmarkEnd w:id="260"/>
      <w:bookmarkStart w:id="261" w:name="_Toc1846034049"/>
      <w:bookmarkStart w:id="262" w:name="_Toc485753208"/>
      <w:bookmarkStart w:id="263" w:name="_Toc299083246"/>
      <w:bookmarkStart w:id="264" w:name="_Toc2039892552"/>
      <w:bookmarkStart w:id="265" w:name="_Toc1383270794"/>
      <w:bookmarkStart w:id="266" w:name="_Toc1225996065"/>
      <w:r>
        <w:rPr>
          <w:rFonts w:hint="default" w:ascii="Times New Roman" w:hAnsi="Times New Roman" w:cs="Times New Roman"/>
          <w:highlight w:val="none"/>
        </w:rPr>
        <w:t>绩效评价对象</w:t>
      </w:r>
      <w:bookmarkEnd w:id="261"/>
      <w:bookmarkEnd w:id="262"/>
      <w:bookmarkEnd w:id="263"/>
      <w:bookmarkEnd w:id="264"/>
      <w:bookmarkEnd w:id="265"/>
      <w:bookmarkEnd w:id="266"/>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东彩小学</w:t>
      </w:r>
      <w:r>
        <w:rPr>
          <w:rFonts w:hint="eastAsia" w:ascii="Times New Roman" w:hAnsi="Times New Roman" w:cs="Times New Roman"/>
          <w:highlight w:val="none"/>
          <w:lang w:eastAsia="zh-CN"/>
        </w:rPr>
        <w:t>新建工程</w:t>
      </w:r>
      <w:r>
        <w:rPr>
          <w:rFonts w:hint="default" w:ascii="Times New Roman" w:hAnsi="Times New Roman" w:cs="Times New Roman"/>
          <w:highlight w:val="none"/>
        </w:rPr>
        <w:t>项目，该项目资金总金额12100.99万元，评价金额5000万元。</w:t>
      </w:r>
    </w:p>
    <w:p>
      <w:pPr>
        <w:pStyle w:val="5"/>
        <w:pageBreakBefore w:val="0"/>
        <w:numPr>
          <w:ilvl w:val="0"/>
          <w:numId w:val="6"/>
        </w:numPr>
        <w:wordWrap/>
        <w:overflowPunct/>
        <w:topLinePunct w:val="0"/>
        <w:bidi w:val="0"/>
        <w:snapToGrid/>
        <w:spacing w:line="560" w:lineRule="exact"/>
        <w:ind w:left="0" w:leftChars="0" w:firstLine="639" w:firstLineChars="200"/>
        <w:rPr>
          <w:rFonts w:hint="default" w:ascii="Times New Roman" w:hAnsi="Times New Roman" w:cs="Times New Roman"/>
          <w:highlight w:val="none"/>
        </w:rPr>
      </w:pPr>
      <w:bookmarkStart w:id="267" w:name="_Toc1468824609"/>
      <w:bookmarkStart w:id="268" w:name="_Toc1394830298"/>
      <w:bookmarkStart w:id="269" w:name="_Toc1598013334"/>
      <w:bookmarkStart w:id="270" w:name="_Toc729712210"/>
      <w:bookmarkStart w:id="271" w:name="_Toc210271490"/>
      <w:r>
        <w:rPr>
          <w:rFonts w:hint="default" w:ascii="Times New Roman" w:hAnsi="Times New Roman" w:cs="Times New Roman"/>
          <w:highlight w:val="none"/>
        </w:rPr>
        <w:t>绩效评价范围</w:t>
      </w:r>
      <w:bookmarkEnd w:id="267"/>
      <w:bookmarkEnd w:id="268"/>
      <w:bookmarkEnd w:id="269"/>
      <w:bookmarkEnd w:id="270"/>
      <w:bookmarkEnd w:id="271"/>
    </w:p>
    <w:p>
      <w:pPr>
        <w:pageBreakBefore w:val="0"/>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cs="Times New Roman"/>
          <w:highlight w:val="none"/>
        </w:rPr>
        <w:t>东彩小学项目的项目决策、项目的产出、完成情况、资金投入的运行情况、项目实施后产生的绩效情况、绩效目标的实现程度，包括是否达到预定产出和效果等。</w:t>
      </w:r>
    </w:p>
    <w:p>
      <w:pPr>
        <w:pStyle w:val="5"/>
        <w:pageBreakBefore w:val="0"/>
        <w:numPr>
          <w:ilvl w:val="0"/>
          <w:numId w:val="6"/>
        </w:numPr>
        <w:wordWrap/>
        <w:overflowPunct/>
        <w:topLinePunct w:val="0"/>
        <w:bidi w:val="0"/>
        <w:snapToGrid/>
        <w:spacing w:line="560" w:lineRule="exact"/>
        <w:ind w:left="0" w:leftChars="0" w:firstLine="639" w:firstLineChars="200"/>
        <w:rPr>
          <w:rFonts w:hint="default" w:ascii="Times New Roman" w:hAnsi="Times New Roman" w:cs="Times New Roman"/>
          <w:highlight w:val="none"/>
        </w:rPr>
      </w:pPr>
      <w:bookmarkStart w:id="272" w:name="_Toc1422333115"/>
      <w:bookmarkStart w:id="273" w:name="_Toc1379615156"/>
      <w:bookmarkStart w:id="274" w:name="_Toc1210681198"/>
      <w:r>
        <w:rPr>
          <w:rFonts w:hint="default" w:ascii="Times New Roman" w:hAnsi="Times New Roman" w:cs="Times New Roman"/>
          <w:highlight w:val="none"/>
        </w:rPr>
        <w:t>绩效评价时间：</w:t>
      </w:r>
      <w:bookmarkEnd w:id="272"/>
      <w:bookmarkEnd w:id="273"/>
      <w:bookmarkEnd w:id="274"/>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2024年1月1日至2024年12月31日。</w:t>
      </w:r>
    </w:p>
    <w:p>
      <w:pPr>
        <w:pStyle w:val="4"/>
        <w:bidi w:val="0"/>
        <w:rPr>
          <w:rFonts w:hint="default"/>
          <w:highlight w:val="none"/>
        </w:rPr>
      </w:pPr>
      <w:bookmarkStart w:id="275" w:name="bookmark19"/>
      <w:bookmarkEnd w:id="275"/>
      <w:bookmarkStart w:id="276" w:name="_Toc2121755983"/>
      <w:bookmarkStart w:id="277" w:name="_Toc981327834"/>
      <w:bookmarkStart w:id="278" w:name="_Toc2141489100"/>
      <w:bookmarkStart w:id="279" w:name="_Toc1512189048"/>
      <w:bookmarkStart w:id="280" w:name="_Toc511339461"/>
      <w:bookmarkStart w:id="281" w:name="_Toc810990233"/>
      <w:r>
        <w:rPr>
          <w:rFonts w:hint="default"/>
          <w:highlight w:val="none"/>
        </w:rPr>
        <w:t>（</w:t>
      </w:r>
      <w:r>
        <w:rPr>
          <w:rFonts w:hint="default"/>
          <w:highlight w:val="none"/>
          <w:lang w:val="en-US" w:eastAsia="zh-CN"/>
        </w:rPr>
        <w:t>二</w:t>
      </w:r>
      <w:r>
        <w:rPr>
          <w:rFonts w:hint="default"/>
          <w:highlight w:val="none"/>
        </w:rPr>
        <w:t>）</w:t>
      </w:r>
      <w:bookmarkEnd w:id="276"/>
      <w:bookmarkEnd w:id="277"/>
      <w:bookmarkEnd w:id="278"/>
      <w:r>
        <w:rPr>
          <w:rFonts w:hint="default"/>
          <w:highlight w:val="none"/>
          <w:lang w:eastAsia="zh-CN"/>
        </w:rPr>
        <w:t>绩效评价原则、评价指标体系（附表说明）、评价方法、评价标准等。</w:t>
      </w:r>
      <w:bookmarkEnd w:id="279"/>
      <w:bookmarkEnd w:id="280"/>
      <w:bookmarkEnd w:id="281"/>
    </w:p>
    <w:p>
      <w:pPr>
        <w:pStyle w:val="5"/>
        <w:pageBreakBefore w:val="0"/>
        <w:wordWrap/>
        <w:overflowPunct/>
        <w:topLinePunct w:val="0"/>
        <w:bidi w:val="0"/>
        <w:snapToGrid/>
        <w:spacing w:line="560" w:lineRule="exact"/>
        <w:rPr>
          <w:rFonts w:hint="eastAsia" w:ascii="仿宋_GB2312" w:hAnsi="仿宋_GB2312" w:eastAsia="仿宋_GB2312" w:cs="仿宋_GB2312"/>
          <w:highlight w:val="none"/>
          <w:lang w:val="en-US" w:eastAsia="zh-CN"/>
        </w:rPr>
      </w:pPr>
      <w:bookmarkStart w:id="282" w:name="_Toc234138522"/>
      <w:bookmarkStart w:id="283" w:name="_Toc2039851138"/>
      <w:bookmarkStart w:id="284" w:name="_Toc2000249380"/>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 xml:space="preserve"> 绩效评价原则</w:t>
      </w:r>
      <w:bookmarkEnd w:id="282"/>
      <w:bookmarkEnd w:id="283"/>
      <w:bookmarkEnd w:id="284"/>
    </w:p>
    <w:p>
      <w:pPr>
        <w:bidi w:val="0"/>
        <w:rPr>
          <w:rFonts w:hint="default"/>
          <w:highlight w:val="none"/>
        </w:rPr>
      </w:pPr>
      <w:bookmarkStart w:id="285" w:name="_Toc1349135658"/>
      <w:bookmarkStart w:id="286" w:name="_Toc1482319522"/>
      <w:r>
        <w:rPr>
          <w:rFonts w:hint="eastAsia"/>
          <w:highlight w:val="none"/>
          <w:lang w:eastAsia="zh-CN"/>
        </w:rPr>
        <w:t>一是</w:t>
      </w:r>
      <w:r>
        <w:rPr>
          <w:rFonts w:hint="default"/>
          <w:highlight w:val="none"/>
        </w:rPr>
        <w:t>科学公正。运用科学合理的方法，按照规范的程序，对项目绩效进行客观、公正地反映。</w:t>
      </w:r>
      <w:r>
        <w:rPr>
          <w:rFonts w:hint="eastAsia"/>
          <w:highlight w:val="none"/>
          <w:lang w:val="en-US" w:eastAsia="zh-CN"/>
        </w:rPr>
        <w:t>二是</w:t>
      </w:r>
      <w:r>
        <w:rPr>
          <w:rFonts w:hint="default"/>
          <w:highlight w:val="none"/>
          <w:lang w:val="en-US" w:eastAsia="en-US"/>
        </w:rPr>
        <w:t>统筹兼顾。</w:t>
      </w:r>
      <w:r>
        <w:rPr>
          <w:rFonts w:hint="eastAsia"/>
          <w:highlight w:val="none"/>
          <w:lang w:val="en-US" w:eastAsia="en-US"/>
        </w:rPr>
        <w:t>单位自评、部门评价和财政评价应职责明确，各有侧重，相互衔接。单位自评由</w:t>
      </w:r>
      <w:r>
        <w:rPr>
          <w:rFonts w:hint="eastAsia"/>
          <w:highlight w:val="none"/>
        </w:rPr>
        <w:t>项目单位自主实施，即“谁支出、谁自评”。部门评价和财政评价在单位自评的基础上开展，必要时可委托第三方机构实施。</w:t>
      </w:r>
      <w:r>
        <w:rPr>
          <w:rFonts w:hint="eastAsia"/>
          <w:highlight w:val="none"/>
          <w:lang w:eastAsia="zh-CN"/>
        </w:rPr>
        <w:t>三是</w:t>
      </w:r>
      <w:r>
        <w:rPr>
          <w:rFonts w:hint="default"/>
          <w:highlight w:val="none"/>
        </w:rPr>
        <w:t>激励约束。绩效评价结果应与预算安排、政策调整、改进管理实质性挂钩，体现奖优罚劣和激励相容导向，有效要安排、低效要压减、无效要问责。</w:t>
      </w:r>
      <w:r>
        <w:rPr>
          <w:rFonts w:hint="eastAsia"/>
          <w:highlight w:val="none"/>
          <w:lang w:eastAsia="zh-CN"/>
        </w:rPr>
        <w:t>四是</w:t>
      </w:r>
      <w:r>
        <w:rPr>
          <w:rFonts w:hint="default"/>
          <w:highlight w:val="none"/>
        </w:rPr>
        <w:t>公开透明。绩效评价结果应依法依规公开，并自觉接受社会监督。</w:t>
      </w:r>
      <w:bookmarkEnd w:id="285"/>
      <w:bookmarkEnd w:id="286"/>
    </w:p>
    <w:p>
      <w:pPr>
        <w:pStyle w:val="5"/>
        <w:pageBreakBefore w:val="0"/>
        <w:numPr>
          <w:ilvl w:val="0"/>
          <w:numId w:val="7"/>
        </w:numPr>
        <w:wordWrap/>
        <w:overflowPunct/>
        <w:topLinePunct w:val="0"/>
        <w:bidi w:val="0"/>
        <w:snapToGrid/>
        <w:spacing w:line="560" w:lineRule="exact"/>
        <w:rPr>
          <w:rFonts w:hint="eastAsia" w:ascii="仿宋_GB2312" w:hAnsi="仿宋_GB2312" w:eastAsia="仿宋_GB2312" w:cs="仿宋_GB2312"/>
          <w:highlight w:val="none"/>
        </w:rPr>
      </w:pPr>
      <w:bookmarkStart w:id="287" w:name="_Toc386417407"/>
      <w:bookmarkStart w:id="288" w:name="_Toc1790658980"/>
      <w:bookmarkStart w:id="289" w:name="_Toc976097950"/>
      <w:r>
        <w:rPr>
          <w:rFonts w:hint="eastAsia" w:ascii="仿宋_GB2312" w:hAnsi="仿宋_GB2312" w:eastAsia="仿宋_GB2312" w:cs="仿宋_GB2312"/>
          <w:highlight w:val="none"/>
          <w:lang w:eastAsia="zh-CN"/>
        </w:rPr>
        <w:t>评价指标体系（附表说明）</w:t>
      </w:r>
      <w:bookmarkEnd w:id="287"/>
      <w:bookmarkEnd w:id="288"/>
      <w:bookmarkEnd w:id="289"/>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绩效评价指标体系是开展绩效评价的核心。绩效评价指标体系包括评价准则、关键评价问题、评价指标、数据来源、数据收集方法等。指标体系建立过程如下：</w:t>
      </w:r>
    </w:p>
    <w:p>
      <w:pPr>
        <w:pStyle w:val="6"/>
        <w:pageBreakBefore w:val="0"/>
        <w:widowControl/>
        <w:wordWrap/>
        <w:overflowPunct/>
        <w:topLinePunct w:val="0"/>
        <w:bidi w:val="0"/>
        <w:snapToGrid/>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（1）确定绩效评价指标</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第一步，采用层次分析法，建立绩效评价指标体系。绩效评价指标体系分为项目决策、项目管理、项目产出、项目效益四个维度，最终形成一个由多个相互联系的指标组成的多层次指标体系。</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第二步，采用专家调查法，确定绩效评价指标。评价指标体系建立后，邀请专家对指标体系中的指标进行分析、权衡、补充、选择，最后确定评价指标。</w:t>
      </w:r>
    </w:p>
    <w:p>
      <w:pPr>
        <w:pStyle w:val="6"/>
        <w:pageBreakBefore w:val="0"/>
        <w:widowControl/>
        <w:wordWrap/>
        <w:overflowPunct/>
        <w:topLinePunct w:val="0"/>
        <w:bidi w:val="0"/>
        <w:snapToGrid/>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（2）确定权重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采用专家调查法，确定各个指标相对于项目总体绩效的权重分值。因此项目决策权重为20%，项目管理权重占20%，项目产出权重占40%，项目效益权重占20%，由于项目未完工，无服务对象，指标体系不设置满意度指标。</w:t>
      </w:r>
    </w:p>
    <w:p>
      <w:pPr>
        <w:pStyle w:val="6"/>
        <w:pageBreakBefore w:val="0"/>
        <w:widowControl/>
        <w:wordWrap/>
        <w:overflowPunct/>
        <w:topLinePunct w:val="0"/>
        <w:bidi w:val="0"/>
        <w:snapToGrid/>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（3）确定指标标准值</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指标标准值是绩效评价指标的尺度，既要反映同类项目的先进水平，又要符合项目的实际绩效水平。本次绩效评价采用计划标准、通用标准、历史标准等确定此次绩效评价指标标准值。</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根据《财政部关于印发〈项目支出绩效评价管理暂行办法〉的通知》（财预〔2020〕10号）第十八条：绩效评价结果采取评分和评级相结合的方式，具体分值和等级可根据不同评价内容设定。总分一般设置为100分，等级一般划分为四档：90（含）-100分为优、80（含）-90分为良、60（含）-80分为中、60分以下为差。</w:t>
      </w:r>
    </w:p>
    <w:p>
      <w:pPr>
        <w:keepNext w:val="0"/>
        <w:keepLines w:val="0"/>
        <w:pageBreakBefore w:val="0"/>
        <w:widowControl/>
        <w:kinsoku w:val="0"/>
        <w:wordWrap/>
        <w:overflowPunct/>
        <w:topLinePunct w:val="0"/>
        <w:autoSpaceDE w:val="0"/>
        <w:autoSpaceDN w:val="0"/>
        <w:bidi w:val="0"/>
        <w:adjustRightInd w:val="0"/>
        <w:snapToGrid/>
        <w:spacing w:before="52" w:line="560" w:lineRule="exact"/>
        <w:ind w:firstLine="639"/>
        <w:rPr>
          <w:rFonts w:hint="default" w:ascii="Times New Roman" w:hAnsi="Times New Roman" w:eastAsia="仿宋_GB2312" w:cs="Times New Roman"/>
          <w:spacing w:val="5"/>
          <w:sz w:val="31"/>
          <w:szCs w:val="31"/>
          <w:highlight w:val="none"/>
        </w:rPr>
      </w:pPr>
    </w:p>
    <w:tbl>
      <w:tblPr>
        <w:tblStyle w:val="25"/>
        <w:tblW w:w="8531" w:type="dxa"/>
        <w:tblInd w:w="1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
        <w:gridCol w:w="4258"/>
        <w:gridCol w:w="5"/>
        <w:gridCol w:w="4258"/>
        <w:gridCol w:w="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After w:val="1"/>
          <w:wAfter w:w="5" w:type="dxa"/>
          <w:trHeight w:val="575" w:hRule="atLeast"/>
        </w:trPr>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评价计分结果</w:t>
            </w:r>
          </w:p>
        </w:tc>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评价结果级别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71" w:hRule="atLeast"/>
        </w:trPr>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90分（含）～100分</w:t>
            </w:r>
          </w:p>
        </w:tc>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71" w:hRule="atLeast"/>
        </w:trPr>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80分（含）～90分</w:t>
            </w:r>
          </w:p>
        </w:tc>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After w:val="1"/>
          <w:wAfter w:w="5" w:type="dxa"/>
          <w:trHeight w:val="573" w:hRule="atLeast"/>
        </w:trPr>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60分（含）～80分</w:t>
            </w:r>
          </w:p>
        </w:tc>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5" w:type="dxa"/>
          <w:trHeight w:val="574" w:hRule="atLeast"/>
        </w:trPr>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60分以下</w:t>
            </w:r>
          </w:p>
        </w:tc>
        <w:tc>
          <w:tcPr>
            <w:tcW w:w="4263" w:type="dxa"/>
            <w:gridSpan w:val="2"/>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差</w:t>
            </w:r>
          </w:p>
        </w:tc>
      </w:tr>
    </w:tbl>
    <w:p>
      <w:pPr>
        <w:pStyle w:val="5"/>
        <w:pageBreakBefore w:val="0"/>
        <w:numPr>
          <w:ilvl w:val="0"/>
          <w:numId w:val="7"/>
        </w:numPr>
        <w:wordWrap/>
        <w:overflowPunct/>
        <w:topLinePunct w:val="0"/>
        <w:bidi w:val="0"/>
        <w:snapToGrid/>
        <w:spacing w:line="560" w:lineRule="exact"/>
        <w:ind w:left="0" w:leftChars="0" w:firstLine="639" w:firstLineChars="200"/>
        <w:rPr>
          <w:rFonts w:hint="default" w:ascii="Times New Roman" w:hAnsi="Times New Roman" w:cs="Times New Roman"/>
          <w:highlight w:val="none"/>
        </w:rPr>
      </w:pPr>
      <w:bookmarkStart w:id="290" w:name="_Toc769647802"/>
      <w:bookmarkStart w:id="291" w:name="_Toc650666217"/>
      <w:bookmarkStart w:id="292" w:name="_Toc711081119"/>
      <w:bookmarkStart w:id="293" w:name="_Toc526810921"/>
      <w:bookmarkStart w:id="294" w:name="_Toc1797455196"/>
      <w:bookmarkStart w:id="295" w:name="_Toc330614648"/>
      <w:bookmarkStart w:id="296" w:name="_Toc1860739830"/>
      <w:bookmarkStart w:id="297" w:name="_Toc115421480"/>
      <w:r>
        <w:rPr>
          <w:rFonts w:hint="default" w:ascii="Times New Roman" w:hAnsi="Times New Roman" w:cs="Times New Roman"/>
          <w:highlight w:val="none"/>
        </w:rPr>
        <w:t>绩效评价方法</w:t>
      </w:r>
      <w:bookmarkEnd w:id="290"/>
      <w:bookmarkEnd w:id="291"/>
      <w:bookmarkEnd w:id="292"/>
      <w:bookmarkEnd w:id="293"/>
      <w:bookmarkEnd w:id="294"/>
      <w:bookmarkEnd w:id="295"/>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绩效评价方法包括主要包括成本效益分析法、比较法因素分析法、最低成本法、公众评判法、标杆管理法等，结合项目特点，本项目采取以下绩效评价方法：</w:t>
      </w:r>
    </w:p>
    <w:p>
      <w:pPr>
        <w:pStyle w:val="5"/>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bookmarkStart w:id="298" w:name="_Toc36072666"/>
      <w:bookmarkStart w:id="299" w:name="_Toc393871478"/>
      <w:bookmarkStart w:id="300" w:name="_Toc1176602333"/>
      <w:bookmarkStart w:id="301" w:name="_Toc760378595"/>
      <w:bookmarkStart w:id="302" w:name="_Toc1177016823"/>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rPr>
        <w:t>1</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rPr>
        <w:t>比较法</w:t>
      </w:r>
      <w:bookmarkEnd w:id="298"/>
      <w:bookmarkEnd w:id="299"/>
      <w:bookmarkEnd w:id="300"/>
      <w:bookmarkEnd w:id="301"/>
      <w:bookmarkEnd w:id="302"/>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主要是将项目实际总建筑面积、项目建设合格率、项目效益等与预期目标值进行比较。</w:t>
      </w:r>
    </w:p>
    <w:p>
      <w:pPr>
        <w:pStyle w:val="5"/>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bookmarkStart w:id="303" w:name="_Toc682909008"/>
      <w:bookmarkStart w:id="304" w:name="_Toc7862868"/>
      <w:bookmarkStart w:id="305" w:name="_Toc1125989155"/>
      <w:bookmarkStart w:id="306" w:name="_Toc1253330692"/>
      <w:bookmarkStart w:id="307" w:name="_Toc1649871644"/>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lang w:val="en-US" w:eastAsia="zh-CN"/>
        </w:rPr>
        <w:t>2</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rPr>
        <w:t>因素分析法</w:t>
      </w:r>
      <w:bookmarkEnd w:id="303"/>
      <w:bookmarkEnd w:id="304"/>
      <w:bookmarkEnd w:id="305"/>
      <w:bookmarkEnd w:id="306"/>
      <w:bookmarkEnd w:id="307"/>
    </w:p>
    <w:p>
      <w:pPr>
        <w:pageBreakBefore w:val="0"/>
        <w:wordWrap/>
        <w:overflowPunct/>
        <w:topLinePunct w:val="0"/>
        <w:bidi w:val="0"/>
        <w:snapToGrid/>
        <w:spacing w:line="560" w:lineRule="exact"/>
        <w:rPr>
          <w:rFonts w:hint="default" w:ascii="Times New Roman" w:hAnsi="Times New Roman" w:cs="Times New Roman"/>
          <w:highlight w:val="none"/>
        </w:rPr>
      </w:pPr>
      <w:bookmarkStart w:id="308" w:name="bookmark86"/>
      <w:bookmarkEnd w:id="308"/>
      <w:r>
        <w:rPr>
          <w:rFonts w:hint="default" w:ascii="Times New Roman" w:hAnsi="Times New Roman" w:cs="Times New Roman"/>
          <w:highlight w:val="none"/>
        </w:rPr>
        <w:t>因素分析法是指通过综合分析影响绩效目标实现、实施效果的内外因素，计算投入产出比的方法。</w:t>
      </w:r>
    </w:p>
    <w:p>
      <w:pPr>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rPr>
        <w:t>本次绩效评价综合分析项目实施的影响因素，从内部因素和外部因素两方面分析，内部因素主要从单位内部组织架构、职责分工、决策程序、管理制度、内部控制制度等方面分析；外部因素主要从地方、行业政策等方面进行分析。</w:t>
      </w:r>
    </w:p>
    <w:p>
      <w:pPr>
        <w:pStyle w:val="5"/>
        <w:pageBreakBefore w:val="0"/>
        <w:numPr>
          <w:ilvl w:val="0"/>
          <w:numId w:val="7"/>
        </w:numPr>
        <w:wordWrap/>
        <w:overflowPunct/>
        <w:topLinePunct w:val="0"/>
        <w:bidi w:val="0"/>
        <w:snapToGrid/>
        <w:spacing w:line="560" w:lineRule="exact"/>
        <w:ind w:left="0" w:leftChars="0" w:firstLine="639" w:firstLineChars="200"/>
        <w:rPr>
          <w:rFonts w:hint="default" w:ascii="Times New Roman" w:hAnsi="Times New Roman" w:cs="Times New Roman"/>
          <w:highlight w:val="none"/>
        </w:rPr>
      </w:pPr>
      <w:bookmarkStart w:id="309" w:name="_Toc1154720009"/>
      <w:bookmarkStart w:id="310" w:name="_Toc1499087888"/>
      <w:bookmarkStart w:id="311" w:name="_Toc873830721"/>
      <w:r>
        <w:rPr>
          <w:rFonts w:hint="default" w:ascii="Times New Roman" w:hAnsi="Times New Roman" w:cs="Times New Roman"/>
          <w:highlight w:val="none"/>
        </w:rPr>
        <w:t>绩效评价标准</w:t>
      </w:r>
      <w:bookmarkEnd w:id="296"/>
      <w:bookmarkEnd w:id="297"/>
      <w:bookmarkEnd w:id="309"/>
      <w:bookmarkEnd w:id="310"/>
      <w:bookmarkEnd w:id="311"/>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通常包括计划标准、行业标准、历史标准等，用于对绩效指标完成情况进行比较。计划标准指以预先制定的目标、计划、预算、定额等作为评价标准。行业标准指参照国家公布的行业指标数据制定的评价标准。历史标准指参照历史数据制定的评价标准，为体现绩效改进的原则，在可实现的条件下应当确定相对较高的评价标准。</w:t>
      </w:r>
      <w:r>
        <w:rPr>
          <w:rFonts w:hint="eastAsia" w:ascii="Times New Roman" w:hAnsi="Times New Roman" w:cs="Times New Roman"/>
          <w:highlight w:val="none"/>
          <w:lang w:eastAsia="zh-CN"/>
        </w:rPr>
        <w:t>除此之外，还有</w:t>
      </w:r>
      <w:r>
        <w:rPr>
          <w:rFonts w:hint="default" w:ascii="Times New Roman" w:hAnsi="Times New Roman" w:cs="Times New Roman"/>
          <w:highlight w:val="none"/>
        </w:rPr>
        <w:t>财政部门确认或认可的其他标准。</w:t>
      </w:r>
    </w:p>
    <w:p>
      <w:pPr>
        <w:pStyle w:val="4"/>
        <w:bidi w:val="0"/>
        <w:rPr>
          <w:rFonts w:hint="default"/>
          <w:highlight w:val="none"/>
        </w:rPr>
      </w:pPr>
      <w:bookmarkStart w:id="312" w:name="bookmark25"/>
      <w:bookmarkEnd w:id="312"/>
      <w:bookmarkStart w:id="313" w:name="bookmark27"/>
      <w:bookmarkEnd w:id="313"/>
      <w:bookmarkStart w:id="314" w:name="bookmark21"/>
      <w:bookmarkEnd w:id="314"/>
      <w:bookmarkStart w:id="315" w:name="bookmark29"/>
      <w:bookmarkEnd w:id="315"/>
      <w:bookmarkStart w:id="316" w:name="_Toc1979749661"/>
      <w:bookmarkStart w:id="317" w:name="_Toc1128827959"/>
      <w:bookmarkStart w:id="318" w:name="_Toc80796799"/>
      <w:bookmarkStart w:id="319" w:name="_Toc891987012"/>
      <w:bookmarkStart w:id="320" w:name="_Toc569473324"/>
      <w:bookmarkStart w:id="321" w:name="_Toc1657619854"/>
      <w:r>
        <w:rPr>
          <w:rFonts w:hint="default"/>
          <w:highlight w:val="none"/>
        </w:rPr>
        <w:t>（</w:t>
      </w:r>
      <w:r>
        <w:rPr>
          <w:rFonts w:hint="default"/>
          <w:highlight w:val="none"/>
          <w:lang w:val="en-US" w:eastAsia="zh-CN"/>
        </w:rPr>
        <w:t>三</w:t>
      </w:r>
      <w:r>
        <w:rPr>
          <w:rFonts w:hint="default"/>
          <w:highlight w:val="none"/>
        </w:rPr>
        <w:t>）绩效评价工作过程</w:t>
      </w:r>
      <w:bookmarkEnd w:id="316"/>
      <w:bookmarkEnd w:id="317"/>
      <w:bookmarkEnd w:id="318"/>
      <w:bookmarkEnd w:id="319"/>
      <w:bookmarkEnd w:id="320"/>
      <w:bookmarkEnd w:id="321"/>
      <w:r>
        <w:rPr>
          <w:rFonts w:hint="default"/>
          <w:highlight w:val="none"/>
        </w:rPr>
        <w:tab/>
      </w:r>
    </w:p>
    <w:p>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highlight w:val="none"/>
        </w:rPr>
      </w:pPr>
      <w:bookmarkStart w:id="322" w:name="_Toc42370977"/>
      <w:bookmarkStart w:id="323" w:name="_Toc311533647"/>
      <w:bookmarkStart w:id="324" w:name="_Toc540925809"/>
      <w:bookmarkStart w:id="325" w:name="_Toc1951025436"/>
      <w:bookmarkStart w:id="326" w:name="_Toc742135889"/>
      <w:r>
        <w:rPr>
          <w:rFonts w:hint="default" w:ascii="Times New Roman" w:hAnsi="Times New Roman" w:eastAsia="仿宋_GB2312" w:cs="Times New Roman"/>
          <w:highlight w:val="none"/>
        </w:rPr>
        <w:t>1.</w:t>
      </w:r>
      <w:r>
        <w:rPr>
          <w:rFonts w:hint="eastAsia"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rPr>
        <w:t>前期准备</w:t>
      </w:r>
      <w:bookmarkEnd w:id="322"/>
      <w:bookmarkEnd w:id="323"/>
      <w:bookmarkEnd w:id="324"/>
      <w:bookmarkEnd w:id="325"/>
      <w:bookmarkEnd w:id="326"/>
    </w:p>
    <w:p>
      <w:pPr>
        <w:pageBreakBefore w:val="0"/>
        <w:wordWrap/>
        <w:overflowPunct/>
        <w:topLinePunct w:val="0"/>
        <w:bidi w:val="0"/>
        <w:snapToGrid/>
        <w:spacing w:line="560" w:lineRule="exact"/>
        <w:rPr>
          <w:rFonts w:hint="default" w:ascii="Times New Roman" w:hAnsi="Times New Roman" w:eastAsia="仿宋_GB2312" w:cs="Times New Roman"/>
          <w:b/>
          <w:bCs/>
          <w:spacing w:val="-4"/>
          <w:sz w:val="28"/>
          <w:szCs w:val="28"/>
          <w:highlight w:val="none"/>
        </w:rPr>
      </w:pPr>
      <w:r>
        <w:rPr>
          <w:rFonts w:hint="default" w:ascii="Times New Roman" w:hAnsi="Times New Roman" w:cs="Times New Roman"/>
          <w:highlight w:val="none"/>
        </w:rPr>
        <w:t>本次评价，委托方为克拉玛依区财政局，受托方北京上计会计师事务所（普通合伙）。北京上计会计师事务所（普通合伙）按照委托方对该项目评价工作的要求，配备专门人力，重视质量效益评价。组织人力进行前期调查、研究讨论、制定工作方案，具体人员名单如下：</w:t>
      </w:r>
    </w:p>
    <w:p>
      <w:pPr>
        <w:pStyle w:val="13"/>
        <w:pageBreakBefore w:val="0"/>
        <w:widowControl/>
        <w:wordWrap/>
        <w:overflowPunct/>
        <w:topLinePunct w:val="0"/>
        <w:bidi w:val="0"/>
        <w:snapToGrid/>
        <w:spacing w:line="560" w:lineRule="exact"/>
        <w:jc w:val="center"/>
        <w:rPr>
          <w:rFonts w:hint="default" w:ascii="Times New Roman" w:hAnsi="Times New Roman" w:eastAsia="仿宋_GB2312" w:cs="Times New Roman"/>
          <w:highlight w:val="none"/>
        </w:rPr>
      </w:pPr>
      <w:r>
        <w:rPr>
          <w:rFonts w:hint="default" w:ascii="Times New Roman" w:hAnsi="Times New Roman" w:eastAsia="仿宋_GB2312" w:cs="Times New Roman"/>
          <w:b/>
          <w:highlight w:val="none"/>
        </w:rPr>
        <w:t>绩效评价小组人员安排</w:t>
      </w:r>
    </w:p>
    <w:tbl>
      <w:tblPr>
        <w:tblStyle w:val="25"/>
        <w:tblW w:w="8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1099"/>
        <w:gridCol w:w="1540"/>
        <w:gridCol w:w="2138"/>
        <w:gridCol w:w="3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99" w:type="dxa"/>
            <w:shd w:val="clear" w:color="auto" w:fill="D7D7D7"/>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序号</w:t>
            </w:r>
          </w:p>
        </w:tc>
        <w:tc>
          <w:tcPr>
            <w:tcW w:w="1099" w:type="dxa"/>
            <w:shd w:val="clear" w:color="auto" w:fill="D7D7D7"/>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姓名</w:t>
            </w:r>
          </w:p>
        </w:tc>
        <w:tc>
          <w:tcPr>
            <w:tcW w:w="1540" w:type="dxa"/>
            <w:shd w:val="clear" w:color="auto" w:fill="D7D7D7"/>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项目中的定位</w:t>
            </w:r>
          </w:p>
        </w:tc>
        <w:tc>
          <w:tcPr>
            <w:tcW w:w="2138" w:type="dxa"/>
            <w:shd w:val="clear" w:color="auto" w:fill="D7D7D7"/>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主要执业资格和职称</w:t>
            </w:r>
          </w:p>
        </w:tc>
        <w:tc>
          <w:tcPr>
            <w:tcW w:w="3442" w:type="dxa"/>
            <w:shd w:val="clear" w:color="auto" w:fill="D7D7D7"/>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具体分工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9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1</w:t>
            </w:r>
          </w:p>
        </w:tc>
        <w:tc>
          <w:tcPr>
            <w:tcW w:w="1099" w:type="dxa"/>
            <w:vAlign w:val="center"/>
          </w:tcPr>
          <w:p>
            <w:pPr>
              <w:pStyle w:val="39"/>
              <w:pageBreakBefore w:val="0"/>
              <w:wordWrap/>
              <w:overflowPunct/>
              <w:topLinePunct w:val="0"/>
              <w:bidi w:val="0"/>
              <w:snapToGrid/>
              <w:spacing w:line="560" w:lineRule="exact"/>
              <w:jc w:val="center"/>
              <w:rPr>
                <w:rFonts w:hint="default" w:ascii="Times New Roman" w:hAnsi="Times New Roman" w:cs="Times New Roman"/>
                <w:highlight w:val="none"/>
                <w:lang w:val="en-US"/>
              </w:rPr>
            </w:pPr>
            <w:r>
              <w:rPr>
                <w:rFonts w:hint="eastAsia"/>
                <w:highlight w:val="none"/>
                <w:lang w:val="en-US" w:eastAsia="zh-CN"/>
              </w:rPr>
              <w:t>王智星</w:t>
            </w:r>
          </w:p>
        </w:tc>
        <w:tc>
          <w:tcPr>
            <w:tcW w:w="1540"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项目经理</w:t>
            </w:r>
          </w:p>
        </w:tc>
        <w:tc>
          <w:tcPr>
            <w:tcW w:w="2138"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注册会计师</w:t>
            </w:r>
          </w:p>
        </w:tc>
        <w:tc>
          <w:tcPr>
            <w:tcW w:w="3442" w:type="dxa"/>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起草项目工作方案；参与具体项目绩效评价指标体系的设计；参与项目实施单位的沟通，包括方案和报告初稿意见征求；参与具体项目的其他实施工作。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trPr>
        <w:tc>
          <w:tcPr>
            <w:tcW w:w="69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2</w:t>
            </w:r>
          </w:p>
        </w:tc>
        <w:tc>
          <w:tcPr>
            <w:tcW w:w="1099"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杨明新</w:t>
            </w:r>
          </w:p>
        </w:tc>
        <w:tc>
          <w:tcPr>
            <w:tcW w:w="1540"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审计员</w:t>
            </w:r>
          </w:p>
        </w:tc>
        <w:tc>
          <w:tcPr>
            <w:tcW w:w="2138"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中级会计师</w:t>
            </w:r>
          </w:p>
        </w:tc>
        <w:tc>
          <w:tcPr>
            <w:tcW w:w="3442" w:type="dxa"/>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参与绩效评价指标设计，项目报告的核查检验工作。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99" w:type="dxa"/>
            <w:vAlign w:val="center"/>
          </w:tcPr>
          <w:p>
            <w:pPr>
              <w:pStyle w:val="39"/>
              <w:pageBreakBefore w:val="0"/>
              <w:wordWrap/>
              <w:overflowPunct/>
              <w:topLinePunct w:val="0"/>
              <w:bidi w:val="0"/>
              <w:snapToGrid/>
              <w:spacing w:line="560" w:lineRule="exact"/>
              <w:ind w:firstLine="218" w:firstLineChars="100"/>
              <w:jc w:val="both"/>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3</w:t>
            </w:r>
          </w:p>
        </w:tc>
        <w:tc>
          <w:tcPr>
            <w:tcW w:w="1099"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李雨涛</w:t>
            </w:r>
          </w:p>
        </w:tc>
        <w:tc>
          <w:tcPr>
            <w:tcW w:w="1540"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审计员</w:t>
            </w:r>
          </w:p>
        </w:tc>
        <w:tc>
          <w:tcPr>
            <w:tcW w:w="2138" w:type="dxa"/>
            <w:vAlign w:val="center"/>
          </w:tcPr>
          <w:p>
            <w:pPr>
              <w:pStyle w:val="39"/>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初级会计师</w:t>
            </w:r>
          </w:p>
        </w:tc>
        <w:tc>
          <w:tcPr>
            <w:tcW w:w="3442" w:type="dxa"/>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参与绩效评价指标设计，项目报告的核查检验工作。</w:t>
            </w:r>
          </w:p>
        </w:tc>
      </w:tr>
    </w:tbl>
    <w:p>
      <w:pPr>
        <w:pStyle w:val="5"/>
        <w:pageBreakBefore w:val="0"/>
        <w:widowControl/>
        <w:numPr>
          <w:ilvl w:val="0"/>
          <w:numId w:val="8"/>
        </w:numPr>
        <w:wordWrap/>
        <w:overflowPunct/>
        <w:topLinePunct w:val="0"/>
        <w:bidi w:val="0"/>
        <w:snapToGrid/>
        <w:spacing w:line="560" w:lineRule="exact"/>
        <w:rPr>
          <w:rFonts w:hint="default" w:ascii="Times New Roman" w:hAnsi="Times New Roman" w:eastAsia="仿宋_GB2312" w:cs="Times New Roman"/>
          <w:highlight w:val="none"/>
        </w:rPr>
      </w:pPr>
      <w:bookmarkStart w:id="327" w:name="_Toc1041794112"/>
      <w:bookmarkStart w:id="328" w:name="_Toc1311923282"/>
      <w:bookmarkStart w:id="329" w:name="_Toc380873743"/>
      <w:bookmarkStart w:id="330" w:name="_Toc492864647"/>
      <w:bookmarkStart w:id="331" w:name="_Toc956696809"/>
      <w:r>
        <w:rPr>
          <w:rFonts w:hint="default" w:ascii="Times New Roman" w:hAnsi="Times New Roman" w:eastAsia="仿宋_GB2312" w:cs="Times New Roman"/>
          <w:highlight w:val="none"/>
        </w:rPr>
        <w:t>组织实施</w:t>
      </w:r>
      <w:bookmarkEnd w:id="327"/>
      <w:bookmarkEnd w:id="328"/>
      <w:bookmarkEnd w:id="329"/>
      <w:bookmarkEnd w:id="330"/>
      <w:bookmarkEnd w:id="331"/>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本次项目的评价期间为2025年7月14日至2025年8月</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日，具体安排如下：</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（1）方案制定（2025年7月14日前）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受克拉玛依区财政局委托，对项目资金进行调研，与预算单位沟通，收集相关资料，了解项目资金的内容、操作流程、管理机制、资金使用、产出和效果等情况，根据项目资金实际情况和绩效管理要求制定绩效评价工作方案。</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（2）评价实施阶段（2025年7月31日前）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资料收集（2025年7月31日前）。将资料清单发送至部门单位，预算主管部门、相关部门及科室按照预算绩效管理要求提供项目立项、申报、管理、资金使用、项目实施、过程管理、完成情况等相关信息和资料。</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社会调查及资料整理（2025年7月31日前）。根据社会调查方案，对预算主管部门、相关负责人进行访谈，并对相关数据信息进行复核。同时，对受益对象进行满意度问卷调查。社会调查结束后，对相关材料及数据进行分析整理，并撰写形成问卷调查报告和访谈报告。</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（3）报告撰写阶段（2025年8月1日前）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综合分析及撰写评价报告。对复核后的数据和资料进行汇总，依据评分标准对绩效指标进行综合分析，并形成评价结论。在此基础上，按照预算绩效管理要求撰写绩效评价报告。</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（4）单位征求意见（2025年8月</w:t>
      </w:r>
      <w:r>
        <w:rPr>
          <w:rFonts w:hint="eastAsia" w:ascii="Times New Roman" w:hAnsi="Times New Roman" w:cs="Times New Roman"/>
          <w:highlight w:val="none"/>
          <w:lang w:val="en-US" w:eastAsia="zh-CN"/>
        </w:rPr>
        <w:t>2</w:t>
      </w:r>
      <w:r>
        <w:rPr>
          <w:rFonts w:hint="default" w:ascii="Times New Roman" w:hAnsi="Times New Roman" w:cs="Times New Roman"/>
          <w:highlight w:val="none"/>
        </w:rPr>
        <w:t>日前）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8月</w:t>
      </w:r>
      <w:r>
        <w:rPr>
          <w:rFonts w:hint="eastAsia" w:ascii="Times New Roman" w:hAnsi="Times New Roman" w:cs="Times New Roman"/>
          <w:highlight w:val="none"/>
          <w:lang w:val="en-US" w:eastAsia="zh-CN"/>
        </w:rPr>
        <w:t>2</w:t>
      </w:r>
      <w:r>
        <w:rPr>
          <w:rFonts w:hint="default" w:ascii="Times New Roman" w:hAnsi="Times New Roman" w:cs="Times New Roman"/>
          <w:highlight w:val="none"/>
        </w:rPr>
        <w:t>日将绩效评价报告和征求意见函提交项目单位征求意见，时限为三个工作日，截至8月</w:t>
      </w:r>
      <w:r>
        <w:rPr>
          <w:rFonts w:hint="eastAsia" w:ascii="Times New Roman" w:hAnsi="Times New Roman" w:cs="Times New Roman"/>
          <w:highlight w:val="none"/>
          <w:lang w:val="en-US" w:eastAsia="zh-CN"/>
        </w:rPr>
        <w:t>5</w:t>
      </w:r>
      <w:r>
        <w:rPr>
          <w:rFonts w:hint="default" w:ascii="Times New Roman" w:hAnsi="Times New Roman" w:cs="Times New Roman"/>
          <w:highlight w:val="none"/>
        </w:rPr>
        <w:t>日项目单位未对报告反馈意见，视为无意见。</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（5）报告提交（2025年8月</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日前）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撰写完成的绩效评价报告提交克拉玛依</w:t>
      </w:r>
      <w:r>
        <w:rPr>
          <w:rFonts w:hint="eastAsia" w:ascii="Times New Roman" w:hAnsi="Times New Roman" w:cs="Times New Roman"/>
          <w:highlight w:val="none"/>
          <w:lang w:eastAsia="zh-CN"/>
        </w:rPr>
        <w:t>区</w:t>
      </w:r>
      <w:r>
        <w:rPr>
          <w:rFonts w:hint="default" w:ascii="Times New Roman" w:hAnsi="Times New Roman" w:cs="Times New Roman"/>
          <w:highlight w:val="none"/>
        </w:rPr>
        <w:t>财政局，并根据克拉玛依</w:t>
      </w:r>
      <w:r>
        <w:rPr>
          <w:rFonts w:hint="eastAsia" w:ascii="Times New Roman" w:hAnsi="Times New Roman" w:cs="Times New Roman"/>
          <w:highlight w:val="none"/>
          <w:lang w:eastAsia="zh-CN"/>
        </w:rPr>
        <w:t>区</w:t>
      </w:r>
      <w:r>
        <w:rPr>
          <w:rFonts w:hint="default" w:ascii="Times New Roman" w:hAnsi="Times New Roman" w:cs="Times New Roman"/>
          <w:highlight w:val="none"/>
        </w:rPr>
        <w:t>财政局的安排与预算单位沟通确认。</w:t>
      </w:r>
    </w:p>
    <w:p>
      <w:pPr>
        <w:pStyle w:val="4"/>
        <w:bidi w:val="0"/>
        <w:rPr>
          <w:rFonts w:hint="default"/>
          <w:highlight w:val="none"/>
        </w:rPr>
      </w:pPr>
      <w:bookmarkStart w:id="332" w:name="_Toc181379980"/>
      <w:bookmarkStart w:id="333" w:name="_Toc1386847846"/>
      <w:bookmarkStart w:id="334" w:name="_Toc999466393"/>
      <w:bookmarkStart w:id="335" w:name="_Toc1279996825"/>
      <w:bookmarkStart w:id="336" w:name="_Toc502497078"/>
      <w:bookmarkStart w:id="337" w:name="_Toc993203774"/>
      <w:r>
        <w:rPr>
          <w:rFonts w:hint="default"/>
          <w:highlight w:val="none"/>
        </w:rPr>
        <w:t>（四）绩效评价依据</w:t>
      </w:r>
      <w:bookmarkEnd w:id="332"/>
      <w:bookmarkEnd w:id="333"/>
      <w:bookmarkEnd w:id="334"/>
      <w:bookmarkEnd w:id="335"/>
      <w:bookmarkEnd w:id="336"/>
      <w:bookmarkEnd w:id="337"/>
    </w:p>
    <w:p>
      <w:pPr>
        <w:pageBreakBefore w:val="0"/>
        <w:wordWrap/>
        <w:overflowPunct/>
        <w:topLinePunct w:val="0"/>
        <w:bidi w:val="0"/>
        <w:snapToGrid/>
        <w:spacing w:line="560" w:lineRule="exact"/>
        <w:rPr>
          <w:rFonts w:hint="default" w:ascii="Times New Roman" w:hAnsi="Times New Roman" w:cs="Times New Roman"/>
          <w:highlight w:val="none"/>
        </w:rPr>
      </w:pPr>
      <w:bookmarkStart w:id="338" w:name="_Toc1174028767"/>
      <w:bookmarkStart w:id="339" w:name="_Toc1562689942"/>
      <w:r>
        <w:rPr>
          <w:rFonts w:hint="default" w:ascii="Times New Roman" w:hAnsi="Times New Roman" w:cs="Times New Roman"/>
          <w:highlight w:val="none"/>
        </w:rPr>
        <w:t>1.《中华人民共和国预算法》；</w:t>
      </w:r>
      <w:bookmarkEnd w:id="338"/>
      <w:bookmarkEnd w:id="339"/>
    </w:p>
    <w:p>
      <w:pPr>
        <w:pageBreakBefore w:val="0"/>
        <w:wordWrap/>
        <w:overflowPunct/>
        <w:topLinePunct w:val="0"/>
        <w:bidi w:val="0"/>
        <w:snapToGrid/>
        <w:spacing w:line="560" w:lineRule="exact"/>
        <w:rPr>
          <w:rFonts w:hint="default" w:ascii="Times New Roman" w:hAnsi="Times New Roman" w:cs="Times New Roman"/>
          <w:highlight w:val="none"/>
        </w:rPr>
      </w:pPr>
      <w:bookmarkStart w:id="340" w:name="bookmark85"/>
      <w:bookmarkEnd w:id="340"/>
      <w:r>
        <w:rPr>
          <w:rFonts w:hint="default" w:ascii="Times New Roman" w:hAnsi="Times New Roman" w:cs="Times New Roman"/>
          <w:highlight w:val="none"/>
        </w:rPr>
        <w:t>2.</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财政部关于印发《财政支出绩效评价管理暂行办法》的通知（财预〔2011〕285号）；</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3.《中共中央国务院关于全面实施预算绩效管理的意见》（中发〔2018〕34号）；</w:t>
      </w:r>
    </w:p>
    <w:p>
      <w:pPr>
        <w:pageBreakBefore w:val="0"/>
        <w:wordWrap/>
        <w:overflowPunct/>
        <w:topLinePunct w:val="0"/>
        <w:bidi w:val="0"/>
        <w:snapToGrid/>
        <w:spacing w:line="560" w:lineRule="exact"/>
        <w:rPr>
          <w:rFonts w:hint="default" w:ascii="Times New Roman" w:hAnsi="Times New Roman" w:cs="Times New Roman"/>
          <w:highlight w:val="none"/>
        </w:rPr>
      </w:pPr>
      <w:bookmarkStart w:id="341" w:name="_Toc404852384"/>
      <w:bookmarkStart w:id="342" w:name="_Toc821738333"/>
      <w:r>
        <w:rPr>
          <w:rFonts w:hint="default" w:ascii="Times New Roman" w:hAnsi="Times New Roman" w:cs="Times New Roman"/>
          <w:highlight w:val="none"/>
        </w:rPr>
        <w:t>4.《财政支出绩效评价管理暂行办法》（财预〔2020〕10</w:t>
      </w:r>
      <w:bookmarkEnd w:id="341"/>
      <w:bookmarkEnd w:id="342"/>
      <w:r>
        <w:rPr>
          <w:rFonts w:hint="default" w:ascii="Times New Roman" w:hAnsi="Times New Roman" w:cs="Times New Roman"/>
          <w:highlight w:val="none"/>
        </w:rPr>
        <w:t>号；</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5.《关于印发〈第三方机构绩效评价业务监督管理暂行办法〉的通知》（财监〔2021〕4号）；</w:t>
      </w:r>
    </w:p>
    <w:p>
      <w:pPr>
        <w:pageBreakBefore w:val="0"/>
        <w:kinsoku/>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cs="Times New Roman"/>
          <w:highlight w:val="none"/>
        </w:rPr>
        <w:t>6.</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《关于印发〈自治区本级预算绩效管理委托第三方机构评价管理暂行办法〉的通知》（新财预〔2018〕148号）。</w:t>
      </w:r>
      <w:bookmarkStart w:id="343" w:name="bookmark23"/>
      <w:bookmarkEnd w:id="343"/>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344" w:name="bookmark31"/>
      <w:bookmarkEnd w:id="344"/>
      <w:bookmarkStart w:id="345" w:name="_Toc385441487"/>
      <w:bookmarkStart w:id="346" w:name="_Toc1340969315"/>
      <w:bookmarkStart w:id="347" w:name="_Toc414580317"/>
      <w:bookmarkStart w:id="348" w:name="_Toc1562945776"/>
      <w:bookmarkStart w:id="349" w:name="_Toc731695650"/>
      <w:bookmarkStart w:id="350" w:name="_Toc1843730541"/>
      <w:r>
        <w:rPr>
          <w:rFonts w:hint="default" w:ascii="Times New Roman" w:hAnsi="Times New Roman" w:cs="Times New Roman"/>
          <w:highlight w:val="none"/>
        </w:rPr>
        <w:t>三、绩效评价综合情况及结论</w:t>
      </w:r>
      <w:bookmarkEnd w:id="345"/>
      <w:bookmarkEnd w:id="346"/>
      <w:bookmarkEnd w:id="347"/>
      <w:bookmarkEnd w:id="348"/>
      <w:bookmarkEnd w:id="349"/>
      <w:bookmarkEnd w:id="350"/>
    </w:p>
    <w:p>
      <w:pPr>
        <w:pStyle w:val="4"/>
        <w:bidi w:val="0"/>
        <w:rPr>
          <w:rFonts w:hint="default"/>
          <w:highlight w:val="none"/>
        </w:rPr>
      </w:pPr>
      <w:bookmarkStart w:id="351" w:name="bookmark33"/>
      <w:bookmarkEnd w:id="351"/>
      <w:bookmarkStart w:id="352" w:name="_Toc409687128"/>
      <w:bookmarkStart w:id="353" w:name="_Toc1414436951"/>
      <w:bookmarkStart w:id="354" w:name="_Toc1977885587"/>
      <w:bookmarkStart w:id="355" w:name="_Toc1537660024"/>
      <w:bookmarkStart w:id="356" w:name="_Toc1117426828"/>
      <w:bookmarkStart w:id="357" w:name="_Toc1304392657"/>
      <w:r>
        <w:rPr>
          <w:rFonts w:hint="default"/>
          <w:highlight w:val="none"/>
        </w:rPr>
        <w:t>（一）绩效评价综合结论</w:t>
      </w:r>
      <w:bookmarkEnd w:id="352"/>
      <w:bookmarkEnd w:id="353"/>
      <w:bookmarkEnd w:id="354"/>
      <w:bookmarkEnd w:id="355"/>
      <w:bookmarkEnd w:id="356"/>
      <w:bookmarkEnd w:id="357"/>
    </w:p>
    <w:p>
      <w:pPr>
        <w:bidi w:val="0"/>
        <w:rPr>
          <w:rFonts w:hint="default"/>
          <w:highlight w:val="none"/>
        </w:rPr>
      </w:pPr>
      <w:r>
        <w:rPr>
          <w:rFonts w:hint="default"/>
          <w:highlight w:val="none"/>
        </w:rPr>
        <w:t>项目绩效评价工作组通过研究、论证绩效评价指标体系及评分标准，采取数据采集和访谈的方式，对东彩小学</w:t>
      </w:r>
      <w:r>
        <w:rPr>
          <w:rFonts w:hint="eastAsia"/>
          <w:highlight w:val="none"/>
          <w:lang w:eastAsia="zh-CN"/>
        </w:rPr>
        <w:t>新建工程项目</w:t>
      </w:r>
      <w:r>
        <w:rPr>
          <w:rFonts w:hint="default"/>
          <w:highlight w:val="none"/>
        </w:rPr>
        <w:t>进行客观评价，该项目最终评价得分：9</w:t>
      </w:r>
      <w:r>
        <w:rPr>
          <w:rFonts w:hint="eastAsia"/>
          <w:highlight w:val="none"/>
          <w:lang w:val="en-US" w:eastAsia="zh-CN"/>
        </w:rPr>
        <w:t>9</w:t>
      </w:r>
      <w:r>
        <w:rPr>
          <w:rFonts w:hint="default"/>
          <w:highlight w:val="none"/>
        </w:rPr>
        <w:t>分，评价等级：“优”。具体情况描述如下：</w:t>
      </w:r>
    </w:p>
    <w:p>
      <w:pPr>
        <w:bidi w:val="0"/>
        <w:rPr>
          <w:rFonts w:hint="default"/>
          <w:highlight w:val="none"/>
        </w:rPr>
      </w:pPr>
      <w:r>
        <w:rPr>
          <w:rFonts w:hint="default"/>
          <w:highlight w:val="none"/>
        </w:rPr>
        <w:t>项目决策类指标权重为20分，得分为19分，得分率为95%，扣1分，主要原因是绩效目标设置不合理、预算编制有待提升。</w:t>
      </w:r>
    </w:p>
    <w:p>
      <w:pPr>
        <w:bidi w:val="0"/>
        <w:rPr>
          <w:rFonts w:hint="default"/>
          <w:highlight w:val="none"/>
        </w:rPr>
      </w:pPr>
      <w:r>
        <w:rPr>
          <w:rFonts w:hint="default"/>
          <w:highlight w:val="none"/>
        </w:rPr>
        <w:t>项目管理类指标权重为20分，得分为</w:t>
      </w:r>
      <w:r>
        <w:rPr>
          <w:rFonts w:hint="eastAsia"/>
          <w:highlight w:val="none"/>
          <w:lang w:val="en-US" w:eastAsia="zh-CN"/>
        </w:rPr>
        <w:t>20</w:t>
      </w:r>
      <w:r>
        <w:rPr>
          <w:rFonts w:hint="default"/>
          <w:highlight w:val="none"/>
        </w:rPr>
        <w:t>分，得分率为</w:t>
      </w:r>
      <w:r>
        <w:rPr>
          <w:rFonts w:hint="eastAsia"/>
          <w:highlight w:val="none"/>
          <w:lang w:val="en-US" w:eastAsia="zh-CN"/>
        </w:rPr>
        <w:t>100</w:t>
      </w:r>
      <w:r>
        <w:rPr>
          <w:rFonts w:hint="default"/>
          <w:highlight w:val="none"/>
        </w:rPr>
        <w:t>%，扣1分，主要原因制度建设有待提高。</w:t>
      </w:r>
    </w:p>
    <w:p>
      <w:pPr>
        <w:bidi w:val="0"/>
        <w:rPr>
          <w:rFonts w:hint="default"/>
          <w:highlight w:val="none"/>
        </w:rPr>
      </w:pPr>
      <w:r>
        <w:rPr>
          <w:rFonts w:hint="default"/>
          <w:highlight w:val="none"/>
        </w:rPr>
        <w:t>项目产出类指标权重为40分，得分为40分，得分率为100%。</w:t>
      </w:r>
    </w:p>
    <w:p>
      <w:pPr>
        <w:bidi w:val="0"/>
        <w:rPr>
          <w:rFonts w:hint="default"/>
          <w:highlight w:val="none"/>
        </w:rPr>
      </w:pPr>
      <w:r>
        <w:rPr>
          <w:rFonts w:hint="default"/>
          <w:highlight w:val="none"/>
        </w:rPr>
        <w:t>项目效益类指标权重为20分，得分为20分，得分率为100%。</w:t>
      </w:r>
    </w:p>
    <w:p>
      <w:pPr>
        <w:bidi w:val="0"/>
        <w:rPr>
          <w:rFonts w:hint="default" w:ascii="Times New Roman" w:hAnsi="Times New Roman" w:cs="Times New Roman"/>
          <w:highlight w:val="none"/>
        </w:rPr>
      </w:pPr>
      <w:r>
        <w:rPr>
          <w:rFonts w:hint="default"/>
          <w:highlight w:val="none"/>
        </w:rPr>
        <w:t>项目具体打分情况见附件1综合评分表。</w:t>
      </w:r>
    </w:p>
    <w:p>
      <w:pPr>
        <w:pStyle w:val="39"/>
        <w:pageBreakBefore w:val="0"/>
        <w:widowControl/>
        <w:wordWrap/>
        <w:overflowPunct/>
        <w:topLinePunct w:val="0"/>
        <w:bidi w:val="0"/>
        <w:snapToGrid/>
        <w:spacing w:line="560" w:lineRule="exact"/>
        <w:rPr>
          <w:rFonts w:hint="eastAsia" w:ascii="方正仿宋_GB2312" w:hAnsi="方正仿宋_GB2312" w:eastAsia="方正仿宋_GB2312" w:cs="方正仿宋_GB2312"/>
          <w:b/>
          <w:bCs/>
          <w:sz w:val="24"/>
          <w:szCs w:val="24"/>
          <w:highlight w:val="none"/>
          <w:lang w:eastAsia="zh-CN"/>
        </w:rPr>
      </w:pPr>
      <w:r>
        <w:rPr>
          <w:rFonts w:hint="eastAsia" w:ascii="方正仿宋_GB2312" w:hAnsi="方正仿宋_GB2312" w:eastAsia="方正仿宋_GB2312" w:cs="方正仿宋_GB2312"/>
          <w:b/>
          <w:bCs/>
          <w:sz w:val="24"/>
          <w:szCs w:val="24"/>
          <w:highlight w:val="none"/>
        </w:rPr>
        <w:t>表3-1</w:t>
      </w:r>
      <w:r>
        <w:rPr>
          <w:rFonts w:hint="eastAsia" w:ascii="方正仿宋_GB2312" w:hAnsi="方正仿宋_GB2312" w:eastAsia="方正仿宋_GB2312" w:cs="方正仿宋_GB2312"/>
          <w:b/>
          <w:bCs/>
          <w:sz w:val="24"/>
          <w:szCs w:val="24"/>
          <w:highlight w:val="none"/>
          <w:lang w:val="en-US" w:eastAsia="zh-CN"/>
        </w:rPr>
        <w:t xml:space="preserve"> </w:t>
      </w:r>
      <w:r>
        <w:rPr>
          <w:rFonts w:hint="eastAsia" w:ascii="方正仿宋_GB2312" w:hAnsi="方正仿宋_GB2312" w:eastAsia="方正仿宋_GB2312" w:cs="方正仿宋_GB2312"/>
          <w:b/>
          <w:bCs/>
          <w:sz w:val="24"/>
          <w:szCs w:val="24"/>
          <w:highlight w:val="none"/>
        </w:rPr>
        <w:t>项目</w:t>
      </w:r>
      <w:r>
        <w:rPr>
          <w:rFonts w:hint="eastAsia" w:ascii="方正仿宋_GB2312" w:hAnsi="方正仿宋_GB2312" w:eastAsia="方正仿宋_GB2312" w:cs="方正仿宋_GB2312"/>
          <w:b/>
          <w:bCs/>
          <w:sz w:val="24"/>
          <w:szCs w:val="24"/>
          <w:highlight w:val="none"/>
          <w:lang w:eastAsia="zh-CN"/>
        </w:rPr>
        <w:t>指标</w:t>
      </w:r>
      <w:r>
        <w:rPr>
          <w:rFonts w:hint="eastAsia" w:ascii="方正仿宋_GB2312" w:hAnsi="方正仿宋_GB2312" w:eastAsia="方正仿宋_GB2312" w:cs="方正仿宋_GB2312"/>
          <w:b/>
          <w:bCs/>
          <w:sz w:val="24"/>
          <w:szCs w:val="24"/>
          <w:highlight w:val="none"/>
        </w:rPr>
        <w:t>得分情况</w:t>
      </w:r>
      <w:r>
        <w:rPr>
          <w:rFonts w:hint="eastAsia" w:ascii="方正仿宋_GB2312" w:hAnsi="方正仿宋_GB2312" w:eastAsia="方正仿宋_GB2312" w:cs="方正仿宋_GB2312"/>
          <w:b/>
          <w:bCs/>
          <w:sz w:val="24"/>
          <w:szCs w:val="24"/>
          <w:highlight w:val="none"/>
          <w:lang w:eastAsia="zh-CN"/>
        </w:rPr>
        <w:t>汇总表</w:t>
      </w:r>
    </w:p>
    <w:tbl>
      <w:tblPr>
        <w:tblStyle w:val="25"/>
        <w:tblW w:w="604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4"/>
        <w:gridCol w:w="1509"/>
        <w:gridCol w:w="1509"/>
        <w:gridCol w:w="15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1514" w:type="dxa"/>
            <w:shd w:val="clear" w:color="auto" w:fill="D7D7D7"/>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指标</w:t>
            </w:r>
          </w:p>
        </w:tc>
        <w:tc>
          <w:tcPr>
            <w:tcW w:w="1509" w:type="dxa"/>
            <w:shd w:val="clear" w:color="auto" w:fill="D7D7D7"/>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权重</w:t>
            </w:r>
          </w:p>
        </w:tc>
        <w:tc>
          <w:tcPr>
            <w:tcW w:w="1509" w:type="dxa"/>
            <w:shd w:val="clear" w:color="auto" w:fill="D7D7D7"/>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分值</w:t>
            </w:r>
          </w:p>
        </w:tc>
        <w:tc>
          <w:tcPr>
            <w:tcW w:w="1509" w:type="dxa"/>
            <w:shd w:val="clear" w:color="auto" w:fill="D7D7D7"/>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得分率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jc w:val="center"/>
        </w:trPr>
        <w:tc>
          <w:tcPr>
            <w:tcW w:w="15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项目决策</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19</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5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项目管理</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eastAsia" w:cs="Times New Roman"/>
                <w:highlight w:val="none"/>
                <w:lang w:val="en-US" w:eastAsia="zh-CN"/>
              </w:rPr>
              <w:t>20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eastAsia" w:cs="Times New Roman"/>
                <w:highlight w:val="none"/>
                <w:lang w:val="en-US" w:eastAsia="zh-CN"/>
              </w:rPr>
              <w:t>10</w:t>
            </w:r>
            <w:r>
              <w:rPr>
                <w:rFonts w:hint="default" w:ascii="Times New Roman" w:hAnsi="Times New Roman" w:cs="Times New Roman"/>
                <w:highlight w:val="none"/>
                <w:lang w:val="en-US" w:eastAsia="zh-CN"/>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15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15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项目效益</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15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合计</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w:t>
            </w:r>
            <w:r>
              <w:rPr>
                <w:rFonts w:hint="eastAsia" w:cs="Times New Roman"/>
                <w:highlight w:val="none"/>
                <w:lang w:val="en-US" w:eastAsia="zh-CN"/>
              </w:rPr>
              <w:t>9</w:t>
            </w:r>
          </w:p>
        </w:tc>
        <w:tc>
          <w:tcPr>
            <w:tcW w:w="1509"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w:t>
            </w:r>
            <w:r>
              <w:rPr>
                <w:rFonts w:hint="eastAsia" w:cs="Times New Roman"/>
                <w:highlight w:val="none"/>
                <w:lang w:val="en-US" w:eastAsia="zh-CN"/>
              </w:rPr>
              <w:t>9</w:t>
            </w:r>
            <w:r>
              <w:rPr>
                <w:rFonts w:hint="default" w:ascii="Times New Roman" w:hAnsi="Times New Roman" w:cs="Times New Roman"/>
                <w:highlight w:val="none"/>
                <w:lang w:val="en-US" w:eastAsia="zh-CN"/>
              </w:rPr>
              <w:t>.00%</w:t>
            </w:r>
          </w:p>
        </w:tc>
      </w:tr>
    </w:tbl>
    <w:p>
      <w:pPr>
        <w:pageBreakBefore w:val="0"/>
        <w:wordWrap/>
        <w:overflowPunct/>
        <w:topLinePunct w:val="0"/>
        <w:bidi w:val="0"/>
        <w:snapToGrid/>
        <w:spacing w:line="560" w:lineRule="exact"/>
        <w:ind w:firstLine="0" w:firstLineChars="0"/>
        <w:rPr>
          <w:rFonts w:hint="eastAsia" w:ascii="Times New Roman" w:hAnsi="Times New Roman" w:cs="Times New Roman"/>
          <w:highlight w:val="none"/>
          <w:lang w:eastAsia="zh-CN"/>
        </w:rPr>
      </w:pPr>
    </w:p>
    <w:p>
      <w:pPr>
        <w:pStyle w:val="4"/>
        <w:bidi w:val="0"/>
        <w:rPr>
          <w:rFonts w:hint="eastAsia"/>
          <w:highlight w:val="none"/>
          <w:lang w:eastAsia="zh-CN"/>
        </w:rPr>
      </w:pPr>
      <w:bookmarkStart w:id="358" w:name="_Toc1945346814"/>
      <w:bookmarkStart w:id="359" w:name="_Toc778988014"/>
      <w:bookmarkStart w:id="360" w:name="_Toc1414317623"/>
      <w:r>
        <w:rPr>
          <w:rFonts w:hint="default"/>
          <w:highlight w:val="none"/>
        </w:rPr>
        <w:t>（</w:t>
      </w:r>
      <w:r>
        <w:rPr>
          <w:rFonts w:hint="eastAsia"/>
          <w:highlight w:val="none"/>
          <w:lang w:val="en-US" w:eastAsia="zh-CN"/>
        </w:rPr>
        <w:t>二</w:t>
      </w:r>
      <w:r>
        <w:rPr>
          <w:rFonts w:hint="default"/>
          <w:highlight w:val="none"/>
        </w:rPr>
        <w:t>）绩效</w:t>
      </w:r>
      <w:r>
        <w:rPr>
          <w:rFonts w:hint="eastAsia"/>
          <w:highlight w:val="none"/>
          <w:lang w:val="en-US" w:eastAsia="zh-CN"/>
        </w:rPr>
        <w:t>目标</w:t>
      </w:r>
      <w:bookmarkEnd w:id="358"/>
      <w:bookmarkEnd w:id="359"/>
      <w:bookmarkEnd w:id="360"/>
    </w:p>
    <w:p>
      <w:pPr>
        <w:pageBreakBefore w:val="0"/>
        <w:wordWrap/>
        <w:overflowPunct/>
        <w:topLinePunct w:val="0"/>
        <w:bidi w:val="0"/>
        <w:snapToGrid/>
        <w:spacing w:line="240" w:lineRule="auto"/>
        <w:rPr>
          <w:rFonts w:hint="eastAsia"/>
          <w:highlight w:val="none"/>
          <w:lang w:eastAsia="zh-CN"/>
        </w:rPr>
      </w:pPr>
      <w:r>
        <w:rPr>
          <w:rFonts w:hint="eastAsia"/>
          <w:highlight w:val="none"/>
          <w:lang w:eastAsia="zh-CN"/>
        </w:rPr>
        <w:t>增加项目指标得分表，表格包含一级二级三级指标、权重、标杆值、业绩值、实际得分、得分率，</w:t>
      </w:r>
      <w:r>
        <w:rPr>
          <w:highlight w:val="none"/>
        </w:rPr>
        <w:t>具体情况见下表3-2</w:t>
      </w:r>
      <w:r>
        <w:rPr>
          <w:rFonts w:hint="eastAsia"/>
          <w:highlight w:val="none"/>
          <w:lang w:eastAsia="zh-CN"/>
        </w:rPr>
        <w:t>。</w:t>
      </w:r>
    </w:p>
    <w:p>
      <w:pPr>
        <w:pageBreakBefore w:val="0"/>
        <w:wordWrap/>
        <w:overflowPunct/>
        <w:topLinePunct w:val="0"/>
        <w:bidi w:val="0"/>
        <w:snapToGrid/>
        <w:spacing w:line="240" w:lineRule="auto"/>
        <w:rPr>
          <w:rFonts w:hint="eastAsia"/>
          <w:highlight w:val="none"/>
          <w:lang w:eastAsia="zh-CN"/>
        </w:rPr>
      </w:pPr>
    </w:p>
    <w:tbl>
      <w:tblPr>
        <w:tblStyle w:val="21"/>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5"/>
        <w:gridCol w:w="1116"/>
        <w:gridCol w:w="1839"/>
        <w:gridCol w:w="550"/>
        <w:gridCol w:w="1486"/>
        <w:gridCol w:w="1212"/>
        <w:gridCol w:w="475"/>
        <w:gridCol w:w="9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ascii="方正仿宋_GB2312" w:hAnsi="方正仿宋_GB2312" w:eastAsia="方正仿宋_GB2312" w:cs="方正仿宋_GB2312"/>
                <w:b/>
                <w:bCs/>
                <w:sz w:val="24"/>
                <w:szCs w:val="24"/>
                <w:highlight w:val="none"/>
                <w:lang w:val="en-US" w:eastAsia="zh-CN"/>
              </w:rPr>
              <w:t>表3-2　项目指标得分表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一级指标</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二级指标</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三级指标</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权重</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标杆值</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业绩值</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实际得分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 决策 （20 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 目 立 项</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立项依据充分性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项目立项是否符合法律 法规、相关政策、发展 规划以及部门职责，用 以反映和考核项目立项 依据情况。</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立项程序规范性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highlight w:val="none"/>
                <w:lang w:val="en-US" w:eastAsia="zh-CN"/>
              </w:rPr>
              <w:t>项目申请、设立过程是 否符合相关要求，用以 反映和考核项目立项的 规范情况。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绩效目标</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left"/>
              <w:textAlignment w:val="center"/>
              <w:rPr>
                <w:highlight w:val="none"/>
              </w:rPr>
            </w:pPr>
            <w:r>
              <w:rPr>
                <w:rFonts w:hint="default"/>
                <w:highlight w:val="none"/>
                <w:lang w:val="en-US" w:eastAsia="zh-CN"/>
              </w:rPr>
              <w:t>绩效目标合理性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项目所设定的绩效目标 是否依据充分，是否符 合客观实际，用以反映 和考核项目绩效目标与 项目实施的相符情况。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合理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绩效指标明确性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依据绩效目标设定的绩 效指标是否清晰、细化、 可衡量等，用以反映和 考核项目绩效目标的明 细化情况。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明确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资金投入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left"/>
              <w:textAlignment w:val="center"/>
              <w:rPr>
                <w:rFonts w:hint="default"/>
                <w:highlight w:val="none"/>
              </w:rPr>
            </w:pPr>
            <w:r>
              <w:rPr>
                <w:rFonts w:hint="default"/>
                <w:highlight w:val="none"/>
                <w:lang w:val="en-US" w:eastAsia="zh-CN"/>
              </w:rPr>
              <w:t>预算编制科学性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default"/>
                <w:highlight w:val="none"/>
              </w:rPr>
            </w:pPr>
            <w:r>
              <w:rPr>
                <w:rFonts w:hint="default"/>
                <w:highlight w:val="none"/>
                <w:lang w:val="en-US" w:eastAsia="zh-CN"/>
              </w:rPr>
              <w:t>项目预算编制是否经过 科学论证、有明确标准， 资金额度与年度目标是 否相适应，用以反映和 考核项目预算编制的科 学性、合理性情况。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left"/>
              <w:textAlignment w:val="center"/>
              <w:rPr>
                <w:rFonts w:hint="default"/>
                <w:highlight w:val="none"/>
              </w:rPr>
            </w:pPr>
            <w:r>
              <w:rPr>
                <w:rFonts w:hint="default"/>
                <w:highlight w:val="none"/>
                <w:lang w:val="en-US" w:eastAsia="zh-CN"/>
              </w:rPr>
              <w:t>资金分配合理性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合理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合理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default"/>
                <w:highlight w:val="none"/>
              </w:rPr>
            </w:pPr>
            <w:r>
              <w:rPr>
                <w:rFonts w:hint="default"/>
                <w:highlight w:val="none"/>
                <w:lang w:val="en-US" w:eastAsia="zh-CN"/>
              </w:rPr>
              <w:t>项目管理（20分）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资金管理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资金到位率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实际到位资金与预算资 金的比率，用以反映和 考核资金落实情况对项 目 实施的 总体保 障程 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rPr>
                <w:rFonts w:hint="default"/>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default"/>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预算执行率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项目预算资金是否按照 计划执行，用以反映或 考核项 目预算执行情 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rPr>
                <w:rFonts w:hint="default"/>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default"/>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资金使用合规性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项目资金使用是否符合 相关的财务管理制度规定，用以反映和考核项 目 资金的规 范运行情况。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rPr>
                <w:rFonts w:hint="default"/>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default"/>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管理制度健全性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highlight w:val="none"/>
                <w:lang w:val="en-US" w:eastAsia="zh-CN"/>
              </w:rPr>
              <w:t>项目实施单位的财务和 业务 管理制度是 否健 全，用以反映和考核财 务和业务管理制度对项 目顺利实施 的保 障情 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健全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eastAsia"/>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rPr>
                <w:rFonts w:hint="default"/>
                <w:highlight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组织实施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制度执行有效性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项目实施是否符合相关 管理规定，用以反映和 考核相关管理制度的有 效执行情况。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有效</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rPr>
                <w:rFonts w:hint="default"/>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default"/>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项目质量可控性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项目实施单位是否为达 到项目质量要求而采取 了必需的措施，用以反 映和考核项目实施单位 对项目质量的控制情</w:t>
            </w:r>
            <w:r>
              <w:rPr>
                <w:rFonts w:hint="eastAsia"/>
                <w:highlight w:val="none"/>
                <w:lang w:val="en-US" w:eastAsia="zh-CN"/>
              </w:rPr>
              <w:br w:type="textWrapping"/>
            </w:r>
            <w:r>
              <w:rPr>
                <w:rFonts w:hint="eastAsia"/>
                <w:highlight w:val="none"/>
                <w:lang w:val="en-US" w:eastAsia="zh-CN"/>
              </w:rPr>
              <w:t>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可控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rPr>
                <w:rFonts w:hint="default"/>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default"/>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自评及整改</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是否开展项目自评；项 目开始时间至项目完成 时间内有关检查反馈的 问题是否及时整改。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62.50%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项目产出（40 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数量指标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新建（改扩建）学校数量</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项目实施的实际产出数 与计划产出数的比率， 用以反映和考核项目产 出数量目标的实现程度。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数量指标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主城区普惠性中小学校覆盖率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主城区普惠性中小学占比，衡量优质教育资源的区域覆盖公平性。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highlight w:val="none"/>
              </w:rPr>
            </w:pPr>
            <w:r>
              <w:rPr>
                <w:rFonts w:hint="eastAsia"/>
                <w:highlight w:val="none"/>
                <w:lang w:val="en-US" w:eastAsia="zh-CN"/>
              </w:rPr>
              <w:t>≥95％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质量指标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新建或改造校舍质量达标率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新建或改造校舍通过工程验收的比率，确保校舍安全合规投入教学使用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质量指标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政府债券资金规范管理使用率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政府债券资金按规定用途和程序使用的比率，保障资金安全与效益。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时效指标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政府债券资金三个月内形成支出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政府债券资金到位后三个月内实际支付比率，考核资金拨付时效性。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highlight w:val="none"/>
                <w:lang w:val="en-US" w:eastAsia="zh-CN"/>
              </w:rPr>
              <w:t>≤</w:t>
            </w:r>
            <w:r>
              <w:rPr>
                <w:rFonts w:hint="eastAsia"/>
                <w:highlight w:val="none"/>
                <w:lang w:val="en-US" w:eastAsia="zh-CN"/>
              </w:rPr>
              <w:t>90天</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项目效益（20分）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社会效益指标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default"/>
                <w:highlight w:val="none"/>
              </w:rPr>
            </w:pPr>
            <w:r>
              <w:rPr>
                <w:rFonts w:hint="default"/>
                <w:highlight w:val="none"/>
                <w:lang w:val="en-US" w:eastAsia="zh-CN"/>
              </w:rPr>
              <w:t>义务教育服务能力、水平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义务教育服务能力、水平</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=显著增强</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eastAsia"/>
                <w:highlight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jc w:val="center"/>
              <w:rPr>
                <w:rFonts w:hint="default"/>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default"/>
                <w:highlight w:val="none"/>
              </w:rPr>
            </w:pPr>
            <w:r>
              <w:rPr>
                <w:rFonts w:hint="default"/>
                <w:highlight w:val="none"/>
                <w:lang w:val="en-US" w:eastAsia="zh-CN"/>
              </w:rPr>
              <w:t>义务教育关注度、社会影响力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left"/>
              <w:textAlignment w:val="center"/>
              <w:rPr>
                <w:rFonts w:hint="eastAsia"/>
                <w:highlight w:val="none"/>
              </w:rPr>
            </w:pPr>
            <w:r>
              <w:rPr>
                <w:rFonts w:hint="eastAsia"/>
                <w:highlight w:val="none"/>
                <w:lang w:val="en-US" w:eastAsia="zh-CN"/>
              </w:rPr>
              <w:t>义务教育关注度、社会影响力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=稳步提升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pStyle w:val="39"/>
              <w:keepNext w:val="0"/>
              <w:keepLines w:val="0"/>
              <w:widowControl/>
              <w:suppressLineNumbers w:val="0"/>
              <w:jc w:val="center"/>
              <w:textAlignment w:val="center"/>
              <w:rPr>
                <w:rFonts w:hint="default"/>
                <w:highlight w:val="none"/>
              </w:rPr>
            </w:pPr>
            <w:r>
              <w:rPr>
                <w:rFonts w:hint="default"/>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default"/>
                <w:highlight w:val="none"/>
                <w:lang w:val="en-US"/>
              </w:rPr>
            </w:pPr>
            <w:r>
              <w:rPr>
                <w:rFonts w:hint="eastAsia"/>
                <w:highlight w:val="none"/>
                <w:lang w:val="en-US" w:eastAsia="zh-CN"/>
              </w:rPr>
              <w:t>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keepNext w:val="0"/>
              <w:keepLines w:val="0"/>
              <w:widowControl/>
              <w:suppressLineNumbers w:val="0"/>
              <w:jc w:val="center"/>
              <w:textAlignment w:val="center"/>
              <w:rPr>
                <w:rFonts w:hint="eastAsia"/>
                <w:highlight w:val="none"/>
              </w:rPr>
            </w:pPr>
            <w:r>
              <w:rPr>
                <w:rFonts w:hint="eastAsia"/>
                <w:highlight w:val="none"/>
                <w:lang w:val="en-US" w:eastAsia="zh-CN"/>
              </w:rPr>
              <w:t>99.00%</w:t>
            </w:r>
          </w:p>
        </w:tc>
      </w:tr>
    </w:tbl>
    <w:p>
      <w:pPr>
        <w:pageBreakBefore w:val="0"/>
        <w:wordWrap/>
        <w:overflowPunct/>
        <w:topLinePunct w:val="0"/>
        <w:bidi w:val="0"/>
        <w:snapToGrid/>
        <w:spacing w:line="560" w:lineRule="exact"/>
        <w:rPr>
          <w:rFonts w:hint="eastAsia" w:ascii="Times New Roman" w:hAnsi="Times New Roman" w:cs="Times New Roman"/>
          <w:highlight w:val="none"/>
          <w:lang w:eastAsia="zh-CN"/>
        </w:rPr>
      </w:pP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总体来说，东彩小学</w:t>
      </w:r>
      <w:r>
        <w:rPr>
          <w:rFonts w:hint="eastAsia" w:ascii="Times New Roman" w:hAnsi="Times New Roman" w:cs="Times New Roman"/>
          <w:highlight w:val="none"/>
          <w:lang w:eastAsia="zh-CN"/>
        </w:rPr>
        <w:t>新建</w:t>
      </w:r>
      <w:r>
        <w:rPr>
          <w:rFonts w:hint="default" w:ascii="Times New Roman" w:hAnsi="Times New Roman" w:cs="Times New Roman"/>
          <w:highlight w:val="none"/>
        </w:rPr>
        <w:t>工程项目是克拉玛依区教育局规划实施的普惠性教育惠民项目，旨在通过标准化校园建设，持续扩大优质学位供给，保障适龄儿童就近享受公平而有质量的教育，满足区域人口增长衍生的刚性民生需求。</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该项目建成投产后社会效益效果较好，建议财政部门要在安排该项目次年预算资金时给予保障，避免资金链断裂情况。</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361" w:name="bookmark37"/>
      <w:bookmarkEnd w:id="361"/>
      <w:bookmarkStart w:id="362" w:name="bookmark35"/>
      <w:bookmarkEnd w:id="362"/>
      <w:bookmarkStart w:id="363" w:name="_Toc788028281"/>
      <w:bookmarkStart w:id="364" w:name="_Toc2087284765"/>
      <w:bookmarkStart w:id="365" w:name="_Toc674799498"/>
      <w:bookmarkStart w:id="366" w:name="_Toc5377323"/>
      <w:bookmarkStart w:id="367" w:name="_Toc1391239186"/>
      <w:bookmarkStart w:id="368" w:name="_Toc1016034470"/>
      <w:r>
        <w:rPr>
          <w:rFonts w:hint="default" w:ascii="Times New Roman" w:hAnsi="Times New Roman" w:cs="Times New Roman"/>
          <w:highlight w:val="none"/>
        </w:rPr>
        <w:t>四、绩效评价分析</w:t>
      </w:r>
      <w:bookmarkEnd w:id="363"/>
      <w:bookmarkEnd w:id="364"/>
      <w:bookmarkEnd w:id="365"/>
      <w:bookmarkEnd w:id="366"/>
      <w:bookmarkEnd w:id="367"/>
      <w:bookmarkEnd w:id="368"/>
    </w:p>
    <w:p>
      <w:pPr>
        <w:pStyle w:val="4"/>
        <w:bidi w:val="0"/>
        <w:rPr>
          <w:rFonts w:hint="default"/>
          <w:highlight w:val="none"/>
        </w:rPr>
      </w:pPr>
      <w:bookmarkStart w:id="369" w:name="bookmark39"/>
      <w:bookmarkEnd w:id="369"/>
      <w:bookmarkStart w:id="370" w:name="_Toc859667718"/>
      <w:bookmarkStart w:id="371" w:name="_Toc1848859993"/>
      <w:bookmarkStart w:id="372" w:name="_Toc755050566"/>
      <w:bookmarkStart w:id="373" w:name="_Toc182354487"/>
      <w:bookmarkStart w:id="374" w:name="_Toc494023079"/>
      <w:bookmarkStart w:id="375" w:name="_Toc1849671610"/>
      <w:r>
        <w:rPr>
          <w:rFonts w:hint="default"/>
          <w:highlight w:val="none"/>
        </w:rPr>
        <w:t>（一）</w:t>
      </w:r>
      <w:r>
        <w:rPr>
          <w:rFonts w:hint="eastAsia"/>
          <w:highlight w:val="none"/>
          <w:lang w:eastAsia="zh-CN"/>
        </w:rPr>
        <w:t>项目</w:t>
      </w:r>
      <w:r>
        <w:rPr>
          <w:rFonts w:hint="default"/>
          <w:highlight w:val="none"/>
        </w:rPr>
        <w:t>决策情况</w:t>
      </w:r>
      <w:bookmarkEnd w:id="370"/>
      <w:bookmarkEnd w:id="371"/>
      <w:bookmarkEnd w:id="372"/>
      <w:bookmarkEnd w:id="373"/>
      <w:bookmarkEnd w:id="374"/>
      <w:bookmarkEnd w:id="375"/>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cs="Times New Roman"/>
          <w:highlight w:val="none"/>
        </w:rPr>
        <w:t>项目决策类指标是从项目立项与绩效目标两个方面来对项目进行考察，对立项依据充分性、立项程序规范性、绩效目标合理性、绩效指标明确性、预算编制科学性、资金分配合理性进行分析。项目决策类指标分值20分，实际得分19分。各指标详细得分情况如下表4-1所示</w:t>
      </w:r>
      <w:r>
        <w:rPr>
          <w:rFonts w:hint="default" w:ascii="Times New Roman" w:hAnsi="Times New Roman" w:eastAsia="仿宋_GB2312" w:cs="Times New Roman"/>
          <w:highlight w:val="none"/>
        </w:rPr>
        <w:t>：</w:t>
      </w:r>
    </w:p>
    <w:p>
      <w:pPr>
        <w:pStyle w:val="39"/>
        <w:keepNext w:val="0"/>
        <w:keepLines w:val="0"/>
        <w:widowControl/>
        <w:suppressLineNumbers w:val="0"/>
        <w:jc w:val="center"/>
        <w:textAlignment w:val="center"/>
        <w:rPr>
          <w:rFonts w:hint="default" w:ascii="方正仿宋_GB2312" w:hAnsi="方正仿宋_GB2312" w:eastAsia="方正仿宋_GB2312" w:cs="方正仿宋_GB2312"/>
          <w:b/>
          <w:bCs/>
          <w:sz w:val="24"/>
          <w:szCs w:val="24"/>
          <w:highlight w:val="none"/>
          <w:lang w:val="en-US" w:eastAsia="zh-CN"/>
        </w:rPr>
      </w:pPr>
      <w:r>
        <w:rPr>
          <w:rFonts w:hint="default" w:ascii="方正仿宋_GB2312" w:hAnsi="方正仿宋_GB2312" w:eastAsia="方正仿宋_GB2312" w:cs="方正仿宋_GB2312"/>
          <w:b/>
          <w:bCs/>
          <w:sz w:val="24"/>
          <w:szCs w:val="24"/>
          <w:highlight w:val="none"/>
          <w:lang w:val="en-US" w:eastAsia="zh-CN"/>
        </w:rPr>
        <w:t>表4-1　项目决策指标得分情况</w:t>
      </w:r>
    </w:p>
    <w:tbl>
      <w:tblPr>
        <w:tblStyle w:val="25"/>
        <w:tblW w:w="8045" w:type="dxa"/>
        <w:tblInd w:w="5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621"/>
        <w:gridCol w:w="1254"/>
        <w:gridCol w:w="667"/>
        <w:gridCol w:w="2207"/>
        <w:gridCol w:w="1175"/>
        <w:gridCol w:w="11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6" w:hRule="atLeast"/>
        </w:trPr>
        <w:tc>
          <w:tcPr>
            <w:tcW w:w="964"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一级指标</w:t>
            </w:r>
          </w:p>
        </w:tc>
        <w:tc>
          <w:tcPr>
            <w:tcW w:w="621"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分值</w:t>
            </w:r>
          </w:p>
        </w:tc>
        <w:tc>
          <w:tcPr>
            <w:tcW w:w="1254"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二级指标</w:t>
            </w:r>
          </w:p>
        </w:tc>
        <w:tc>
          <w:tcPr>
            <w:tcW w:w="667"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分值</w:t>
            </w:r>
          </w:p>
        </w:tc>
        <w:tc>
          <w:tcPr>
            <w:tcW w:w="2207"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三级指标</w:t>
            </w:r>
          </w:p>
        </w:tc>
        <w:tc>
          <w:tcPr>
            <w:tcW w:w="1175"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分值</w:t>
            </w:r>
          </w:p>
        </w:tc>
        <w:tc>
          <w:tcPr>
            <w:tcW w:w="1157" w:type="dxa"/>
            <w:shd w:val="clear" w:color="auto" w:fill="CFCECE"/>
            <w:vAlign w:val="top"/>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64"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项目决策</w:t>
            </w:r>
          </w:p>
        </w:tc>
        <w:tc>
          <w:tcPr>
            <w:tcW w:w="621"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1254"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项目立项</w:t>
            </w:r>
          </w:p>
        </w:tc>
        <w:tc>
          <w:tcPr>
            <w:tcW w:w="667"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8</w:t>
            </w: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立项依据充分性</w:t>
            </w: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4" w:hRule="atLeast"/>
        </w:trPr>
        <w:tc>
          <w:tcPr>
            <w:tcW w:w="96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21"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25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67"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立项程序规范性</w:t>
            </w: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4" w:hRule="atLeast"/>
        </w:trPr>
        <w:tc>
          <w:tcPr>
            <w:tcW w:w="96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21"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254"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w:t>
            </w:r>
          </w:p>
        </w:tc>
        <w:tc>
          <w:tcPr>
            <w:tcW w:w="667"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6</w:t>
            </w: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绩效目标合理性</w:t>
            </w: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4" w:hRule="atLeast"/>
        </w:trPr>
        <w:tc>
          <w:tcPr>
            <w:tcW w:w="96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21"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25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67"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绩效指标明确性</w:t>
            </w: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4" w:hRule="atLeast"/>
        </w:trPr>
        <w:tc>
          <w:tcPr>
            <w:tcW w:w="96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21"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254"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资金投入</w:t>
            </w:r>
          </w:p>
        </w:tc>
        <w:tc>
          <w:tcPr>
            <w:tcW w:w="667" w:type="dxa"/>
            <w:vMerge w:val="restart"/>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6</w:t>
            </w: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预算编制科学性</w:t>
            </w: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4" w:hRule="atLeast"/>
        </w:trPr>
        <w:tc>
          <w:tcPr>
            <w:tcW w:w="96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21"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254"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67" w:type="dxa"/>
            <w:vMerge w:val="continue"/>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资金分配合理性</w:t>
            </w: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4" w:hRule="atLeast"/>
        </w:trPr>
        <w:tc>
          <w:tcPr>
            <w:tcW w:w="2839" w:type="dxa"/>
            <w:gridSpan w:val="3"/>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合计</w:t>
            </w:r>
          </w:p>
        </w:tc>
        <w:tc>
          <w:tcPr>
            <w:tcW w:w="66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220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175"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1157" w:type="dxa"/>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19</w:t>
            </w:r>
          </w:p>
        </w:tc>
      </w:tr>
    </w:tbl>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对于“立项依据充分性”：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东彩小学</w:t>
      </w:r>
      <w:r>
        <w:rPr>
          <w:rFonts w:hint="eastAsia" w:ascii="Times New Roman" w:hAnsi="Times New Roman" w:cs="Times New Roman"/>
          <w:highlight w:val="none"/>
          <w:lang w:eastAsia="zh-CN"/>
        </w:rPr>
        <w:t>新建工程</w:t>
      </w:r>
      <w:r>
        <w:rPr>
          <w:rFonts w:hint="default" w:ascii="Times New Roman" w:hAnsi="Times New Roman" w:cs="Times New Roman"/>
          <w:highlight w:val="none"/>
        </w:rPr>
        <w:t>项目立项依据充分，具体体现在：</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①政策依据充分：严格执行《义务教育法》就近入学原则，契合国家教育现代化战略及自治区、市级学校布局规划要求。</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②职责定位精准：项目建设属区教育局法定职责范围，是履行“保障学位供给”核心职能的必要举措。</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③资金事权匹配：资金项目由克拉玛依区教育局承担财政事权的支出责任，主要实行市统筹上级补助资金，财政局按照预算情况进行划拨。费用支出主要通过申请中央预算资金、地方债券资金、地方财政配套等渠道筹措，项目属于公共财政支持范围，符合事权支出责任划分原则；无禁止类支出。</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④项目布局唯一：与幼儿园改造项目形成学段互补，未造成重复建设。</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综上所述，该指标满分4分，得分4分。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对于“立项程序规范性”：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①项目按照规定的程序申请设立；</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②项目立项审批文件由发改部门批复，符合相关要求；</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③事前已经过必要的可行性研究、专家论证、风险评估、绩效评估、集体决策。</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综上所述，该指标满分4分，得分4分。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对于“绩效目标合理性”：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①项目已经设定绩效目标；</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②项目绩效目标与实际工作内容具备适用性；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鉴于该项目完工日期为2026年，目前尚未完工，因此2024年设定该项目绩效目标时，社会效益指标中不宜纳入“义务教育服务能力、水平”，不具备对义务教育能力和水平进行测评的条件;部分指标无法衡量，例如“义务教育服务能力”，指标、水平满意度指标“服务对象满意度”指标值“≥85％”</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③预期产出效果符合正常的业绩水平</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综上所述，该指标满分3分，扣1分，得分2分。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对于“绩效指标明确性”：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①项目已将项目绩效目标分解为具体的绩效指标，项目目标表设置三级指标9条，量化指标7条，量化率77.78%；</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综上所述，该指标满分3分，得分3分。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对于“预算编制科学性”：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①项目预算编制符合科学性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②预算内容与项目内容匹配；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③预算额度测算依据充分，按照标准编制；</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④预算确定的项目投资额与工作任务相匹配。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综上所述，该指标满分3分，得分3分。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对于“资金分配合理性”：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依据项目可研报告，项目预算资金分配依据充分，资金分配合理，与克拉玛依区本地实际相适应。</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综上所述，该指标满分3分，得分3分。</w:t>
      </w:r>
    </w:p>
    <w:p>
      <w:pPr>
        <w:pStyle w:val="4"/>
        <w:bidi w:val="0"/>
        <w:rPr>
          <w:rFonts w:hint="default"/>
          <w:highlight w:val="none"/>
        </w:rPr>
      </w:pPr>
      <w:bookmarkStart w:id="376" w:name="bookmark41"/>
      <w:bookmarkEnd w:id="376"/>
      <w:bookmarkStart w:id="377" w:name="_Toc372698740"/>
      <w:bookmarkStart w:id="378" w:name="_Toc165359410"/>
      <w:bookmarkStart w:id="379" w:name="_Toc653992639"/>
      <w:bookmarkStart w:id="380" w:name="_Toc1849013908"/>
      <w:bookmarkStart w:id="381" w:name="_Toc874109451"/>
      <w:bookmarkStart w:id="382" w:name="_Toc457475298"/>
      <w:r>
        <w:rPr>
          <w:rFonts w:hint="default"/>
          <w:highlight w:val="none"/>
        </w:rPr>
        <w:t>（二）管理情况分析</w:t>
      </w:r>
      <w:bookmarkEnd w:id="377"/>
      <w:bookmarkEnd w:id="378"/>
      <w:bookmarkEnd w:id="379"/>
      <w:bookmarkEnd w:id="380"/>
      <w:bookmarkEnd w:id="381"/>
      <w:bookmarkEnd w:id="382"/>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管理类指标是从项目的资金管理和组织实施两个方面来对项目实施进行考察，主要从资金到位率、预算执行率、资金使用合规性、管理制度健全性、制度执行有效性、项目质量可控性、自评及整改进行分析。项目管理类指标分值20分，实际得分</w:t>
      </w:r>
      <w:r>
        <w:rPr>
          <w:rFonts w:hint="eastAsia" w:ascii="Times New Roman" w:hAnsi="Times New Roman" w:cs="Times New Roman"/>
          <w:highlight w:val="none"/>
          <w:lang w:val="en-US" w:eastAsia="zh-CN"/>
        </w:rPr>
        <w:t>20</w:t>
      </w:r>
      <w:r>
        <w:rPr>
          <w:rFonts w:hint="default" w:ascii="Times New Roman" w:hAnsi="Times New Roman" w:cs="Times New Roman"/>
          <w:highlight w:val="none"/>
        </w:rPr>
        <w:t>分。指标的得分情况如表4-2所示。</w:t>
      </w:r>
    </w:p>
    <w:p>
      <w:pPr>
        <w:pStyle w:val="39"/>
        <w:keepNext w:val="0"/>
        <w:keepLines w:val="0"/>
        <w:widowControl/>
        <w:suppressLineNumbers w:val="0"/>
        <w:jc w:val="center"/>
        <w:textAlignment w:val="center"/>
        <w:rPr>
          <w:rFonts w:hint="default" w:ascii="方正仿宋_GB2312" w:hAnsi="方正仿宋_GB2312" w:eastAsia="方正仿宋_GB2312" w:cs="方正仿宋_GB2312"/>
          <w:b/>
          <w:bCs/>
          <w:sz w:val="24"/>
          <w:szCs w:val="24"/>
          <w:highlight w:val="none"/>
          <w:lang w:val="en-US" w:eastAsia="zh-CN"/>
        </w:rPr>
      </w:pPr>
      <w:r>
        <w:rPr>
          <w:rFonts w:hint="default" w:ascii="方正仿宋_GB2312" w:hAnsi="方正仿宋_GB2312" w:eastAsia="方正仿宋_GB2312" w:cs="方正仿宋_GB2312"/>
          <w:b/>
          <w:bCs/>
          <w:sz w:val="24"/>
          <w:szCs w:val="24"/>
          <w:highlight w:val="none"/>
          <w:lang w:val="en-US" w:eastAsia="zh-CN"/>
        </w:rPr>
        <w:t>表4-2　项目管理指标得分情况</w:t>
      </w:r>
    </w:p>
    <w:tbl>
      <w:tblPr>
        <w:tblStyle w:val="25"/>
        <w:tblW w:w="83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5"/>
        <w:gridCol w:w="586"/>
        <w:gridCol w:w="1483"/>
        <w:gridCol w:w="616"/>
        <w:gridCol w:w="2401"/>
        <w:gridCol w:w="1165"/>
        <w:gridCol w:w="9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145"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一级指标</w:t>
            </w:r>
          </w:p>
        </w:tc>
        <w:tc>
          <w:tcPr>
            <w:tcW w:w="586"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分值</w:t>
            </w:r>
          </w:p>
        </w:tc>
        <w:tc>
          <w:tcPr>
            <w:tcW w:w="1483"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二级指标</w:t>
            </w:r>
          </w:p>
        </w:tc>
        <w:tc>
          <w:tcPr>
            <w:tcW w:w="616"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分值</w:t>
            </w:r>
          </w:p>
        </w:tc>
        <w:tc>
          <w:tcPr>
            <w:tcW w:w="2401"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三级指标</w:t>
            </w:r>
          </w:p>
        </w:tc>
        <w:tc>
          <w:tcPr>
            <w:tcW w:w="1165"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分值</w:t>
            </w:r>
          </w:p>
        </w:tc>
        <w:tc>
          <w:tcPr>
            <w:tcW w:w="933" w:type="dxa"/>
            <w:tcBorders>
              <w:top w:val="single" w:color="auto" w:sz="4" w:space="0"/>
              <w:left w:val="single" w:color="auto" w:sz="4" w:space="0"/>
              <w:bottom w:val="single" w:color="auto" w:sz="4" w:space="0"/>
              <w:right w:val="single" w:color="auto" w:sz="4" w:space="0"/>
            </w:tcBorders>
            <w:shd w:val="clear" w:color="auto" w:fill="CFCECE"/>
            <w:tcMar>
              <w:top w:w="0" w:type="dxa"/>
              <w:left w:w="0" w:type="dxa"/>
              <w:bottom w:w="0" w:type="dxa"/>
              <w:right w:w="0" w:type="dxa"/>
            </w:tcMar>
            <w:vAlign w:val="top"/>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145"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项目管理</w:t>
            </w:r>
          </w:p>
        </w:tc>
        <w:tc>
          <w:tcPr>
            <w:tcW w:w="586"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1483"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资金管理</w:t>
            </w:r>
          </w:p>
        </w:tc>
        <w:tc>
          <w:tcPr>
            <w:tcW w:w="616"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资金到位率</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45"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58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483"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61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预算执行率</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45"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58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483"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61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资金使用合规性</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45"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58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483"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61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管理制度健全性</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lang w:eastAsia="zh-CN"/>
              </w:rPr>
            </w:pPr>
            <w:r>
              <w:rPr>
                <w:rFonts w:hint="eastAsia"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45"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58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483"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组织实施</w:t>
            </w:r>
          </w:p>
        </w:tc>
        <w:tc>
          <w:tcPr>
            <w:tcW w:w="616"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制度执行有效性</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45"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58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483"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61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项目质量可控性</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45"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58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483"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616"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自评及整改</w:t>
            </w: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21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合计</w:t>
            </w:r>
          </w:p>
        </w:tc>
        <w:tc>
          <w:tcPr>
            <w:tcW w:w="61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24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rPr>
                <w:rFonts w:hint="default" w:ascii="Times New Roman" w:hAnsi="Times New Roman" w:cs="Times New Roman"/>
                <w:highlight w:val="none"/>
              </w:rPr>
            </w:pPr>
          </w:p>
        </w:tc>
        <w:tc>
          <w:tcPr>
            <w:tcW w:w="116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93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39"/>
              <w:pageBreakBefore w:val="0"/>
              <w:wordWrap/>
              <w:overflowPunct/>
              <w:topLinePunct w:val="0"/>
              <w:bidi w:val="0"/>
              <w:snapToGrid/>
              <w:spacing w:before="0" w:line="560" w:lineRule="exact"/>
              <w:jc w:val="center"/>
              <w:rPr>
                <w:rFonts w:hint="default" w:ascii="Times New Roman" w:hAnsi="Times New Roman" w:cs="Times New Roman"/>
                <w:highlight w:val="none"/>
                <w:lang w:val="en-US"/>
              </w:rPr>
            </w:pPr>
            <w:r>
              <w:rPr>
                <w:rFonts w:hint="eastAsia" w:cs="Times New Roman"/>
                <w:highlight w:val="none"/>
                <w:lang w:val="en-US" w:eastAsia="zh-CN"/>
              </w:rPr>
              <w:t>20</w:t>
            </w:r>
          </w:p>
        </w:tc>
      </w:tr>
    </w:tbl>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对于“资金到位率”：依据项目资料查证分析，项目2024年申请一般债券资金5000万元，实际到位5000万元，资金到位率为100%。</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综上所述，该指标满分2分，得分2分。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对于“预算执行率”：东彩小学项目2024年实际到位资金5000万元，截至2024年12月31日，支出5000万元，预算执行率为100%。</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综上所述，该指标满分2分，得分2分。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对于“资金使用合规性”：经核查，项目资金支付符合财经法规和专项资金管理办法；资金的拨付有完整的审批程序和手续；资金支持方向符合项目预算批复的用途；不存在截留、挤占、挪用、虚列支出等情况。</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综上所述，该指标满分3分，得分3分。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管理制度健全性”：经核查，克拉玛依区教育局已制定部分相应的财务和业务管理制度；部分制度未制定，如《专项资金管理办法》，未建立重大项目资金分配审核工作机制。财务和业务管理制度合法、合规、完整。</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w:t>
      </w:r>
      <w:r>
        <w:rPr>
          <w:rFonts w:hint="eastAsia" w:ascii="Times New Roman" w:hAnsi="Times New Roman" w:cs="Times New Roman"/>
          <w:highlight w:val="none"/>
          <w:lang w:val="en-US" w:eastAsia="zh-CN"/>
        </w:rPr>
        <w:t>3</w:t>
      </w:r>
      <w:r>
        <w:rPr>
          <w:rFonts w:hint="default" w:ascii="Times New Roman" w:hAnsi="Times New Roman" w:cs="Times New Roman"/>
          <w:highlight w:val="none"/>
        </w:rPr>
        <w:t>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对于“制度执行有效性”：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①项目的开展遵守《克拉玛依区政府投资项目管理暂行规定》、《克拉玛依市教育专项资金管理办法》等法律法规和管理规定；</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②项目未发生调整情况；</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③项目未完工，其余资料齐全并及时归档；</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④项目实施的人员条件、场地设备、信息支撑等已落实到位。</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综上所述，该指标满分3分，得分3分。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对于“项目质量可控性”：经核查，质控措施落实，责任主体明确，项目负责人为克拉玛依区教育局孔祥龙；项目区域内质控工作相关档案齐全规范。</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综上所述，该指标满分3分，得分3分。</w:t>
      </w:r>
    </w:p>
    <w:p>
      <w:pPr>
        <w:pageBreakBefore w:val="0"/>
        <w:wordWrap/>
        <w:overflowPunct/>
        <w:topLinePunct w:val="0"/>
        <w:bidi w:val="0"/>
        <w:snapToGrid/>
        <w:spacing w:line="560" w:lineRule="exact"/>
        <w:rPr>
          <w:rFonts w:hint="default" w:ascii="Times New Roman" w:hAnsi="Times New Roman" w:cs="Times New Roman"/>
          <w:highlight w:val="none"/>
        </w:rPr>
      </w:pPr>
      <w:bookmarkStart w:id="383" w:name="_Toc140896019"/>
      <w:bookmarkStart w:id="384" w:name="_Toc351764652"/>
      <w:bookmarkStart w:id="385" w:name="_Toc221913830"/>
      <w:r>
        <w:rPr>
          <w:rFonts w:hint="default" w:ascii="Times New Roman" w:hAnsi="Times New Roman" w:cs="Times New Roman"/>
          <w:highlight w:val="none"/>
        </w:rPr>
        <w:t>对于“自评及整改”：经核查，克拉玛依区教育局已按照预</w:t>
      </w:r>
      <w:bookmarkEnd w:id="383"/>
      <w:bookmarkEnd w:id="384"/>
      <w:bookmarkEnd w:id="385"/>
      <w:r>
        <w:rPr>
          <w:rFonts w:hint="default" w:ascii="Times New Roman" w:hAnsi="Times New Roman" w:cs="Times New Roman"/>
          <w:highlight w:val="none"/>
        </w:rPr>
        <w:t>算绩效管理要求按时完成项目自评工作。</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综上所述，该指标满分4分，得分4分。</w:t>
      </w:r>
    </w:p>
    <w:p>
      <w:pPr>
        <w:pStyle w:val="4"/>
        <w:bidi w:val="0"/>
        <w:rPr>
          <w:rFonts w:hint="default"/>
          <w:highlight w:val="none"/>
        </w:rPr>
      </w:pPr>
      <w:bookmarkStart w:id="386" w:name="bookmark43"/>
      <w:bookmarkEnd w:id="386"/>
      <w:bookmarkStart w:id="387" w:name="_Toc1674129618"/>
      <w:bookmarkStart w:id="388" w:name="_Toc86025973"/>
      <w:bookmarkStart w:id="389" w:name="_Toc1885408528"/>
      <w:bookmarkStart w:id="390" w:name="_Toc832978327"/>
      <w:bookmarkStart w:id="391" w:name="_Toc1512412339"/>
      <w:bookmarkStart w:id="392" w:name="_Toc795877226"/>
      <w:r>
        <w:rPr>
          <w:rFonts w:hint="default"/>
          <w:highlight w:val="none"/>
        </w:rPr>
        <w:t>（三）产出情况分析</w:t>
      </w:r>
      <w:bookmarkEnd w:id="387"/>
      <w:bookmarkEnd w:id="388"/>
      <w:bookmarkEnd w:id="389"/>
      <w:bookmarkEnd w:id="390"/>
      <w:bookmarkEnd w:id="391"/>
      <w:bookmarkEnd w:id="392"/>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项目产出类指标是从数量指标、质量指标、时效指标三个方面来对项目实施进行考察，项目产出类指标分值40分，实际得分40分。指标的得分情况如表4-3所示。</w:t>
      </w:r>
    </w:p>
    <w:p>
      <w:pPr>
        <w:pageBreakBefore w:val="0"/>
        <w:wordWrap/>
        <w:overflowPunct/>
        <w:topLinePunct w:val="0"/>
        <w:bidi w:val="0"/>
        <w:snapToGrid/>
        <w:spacing w:line="560" w:lineRule="exact"/>
        <w:ind w:left="0" w:leftChars="0" w:firstLine="0" w:firstLineChars="0"/>
        <w:jc w:val="center"/>
        <w:rPr>
          <w:rFonts w:hint="eastAsia" w:ascii="方正仿宋_GB2312" w:hAnsi="方正仿宋_GB2312" w:eastAsia="方正仿宋_GB2312" w:cs="方正仿宋_GB2312"/>
          <w:b/>
          <w:bCs/>
          <w:sz w:val="24"/>
          <w:szCs w:val="24"/>
          <w:highlight w:val="none"/>
        </w:rPr>
      </w:pPr>
      <w:r>
        <w:rPr>
          <w:rFonts w:hint="eastAsia" w:ascii="方正仿宋_GB2312" w:hAnsi="方正仿宋_GB2312" w:eastAsia="方正仿宋_GB2312" w:cs="方正仿宋_GB2312"/>
          <w:b/>
          <w:bCs/>
          <w:sz w:val="24"/>
          <w:szCs w:val="24"/>
          <w:highlight w:val="none"/>
        </w:rPr>
        <w:t>表4-3　项目产出指标得分情况</w:t>
      </w:r>
    </w:p>
    <w:tbl>
      <w:tblPr>
        <w:tblStyle w:val="25"/>
        <w:tblW w:w="90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0"/>
        <w:gridCol w:w="1426"/>
        <w:gridCol w:w="3614"/>
        <w:gridCol w:w="1077"/>
        <w:gridCol w:w="10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890" w:type="dxa"/>
            <w:tcBorders>
              <w:bottom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1426"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分值</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890" w:type="dxa"/>
            <w:vMerge w:val="restart"/>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项目产出（40分）</w:t>
            </w:r>
          </w:p>
        </w:tc>
        <w:tc>
          <w:tcPr>
            <w:tcW w:w="1426"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数量指标</w:t>
            </w: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新建（改扩建）学校数量</w:t>
            </w: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5</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rPr>
        <w:tc>
          <w:tcPr>
            <w:tcW w:w="1890"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426"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数量指标</w:t>
            </w: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主城区普惠性中小学校覆盖率</w:t>
            </w: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5</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rPr>
        <w:tc>
          <w:tcPr>
            <w:tcW w:w="1890"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426"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质量指标</w:t>
            </w: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新建或改造校舍质量达标率</w:t>
            </w: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rPr>
        <w:tc>
          <w:tcPr>
            <w:tcW w:w="1890"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426"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质量指标</w:t>
            </w: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政府债券资金规范管理使用率</w:t>
            </w: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3" w:hRule="atLeast"/>
        </w:trPr>
        <w:tc>
          <w:tcPr>
            <w:tcW w:w="1890"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426"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时效指标</w:t>
            </w: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政府债券资金三个月内形成支出</w:t>
            </w: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rPr>
        <w:tc>
          <w:tcPr>
            <w:tcW w:w="1890" w:type="dxa"/>
            <w:tcBorders>
              <w:top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合计</w:t>
            </w:r>
          </w:p>
        </w:tc>
        <w:tc>
          <w:tcPr>
            <w:tcW w:w="1426"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p>
        </w:tc>
        <w:tc>
          <w:tcPr>
            <w:tcW w:w="3614"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p>
        </w:tc>
        <w:tc>
          <w:tcPr>
            <w:tcW w:w="107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c>
          <w:tcPr>
            <w:tcW w:w="1053"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r>
    </w:tbl>
    <w:p>
      <w:pPr>
        <w:pageBreakBefore w:val="0"/>
        <w:numPr>
          <w:ilvl w:val="0"/>
          <w:numId w:val="9"/>
        </w:numPr>
        <w:wordWrap/>
        <w:overflowPunct/>
        <w:topLinePunct w:val="0"/>
        <w:bidi w:val="0"/>
        <w:snapToGrid/>
        <w:spacing w:line="560" w:lineRule="exact"/>
        <w:rPr>
          <w:rFonts w:hint="eastAsia" w:ascii="Times New Roman" w:hAnsi="Times New Roman" w:eastAsia="仿宋_GB2312" w:cs="Times New Roman"/>
          <w:highlight w:val="none"/>
          <w:lang w:eastAsia="zh-CN"/>
        </w:rPr>
      </w:pPr>
      <w:bookmarkStart w:id="393" w:name="_Toc1497735681"/>
      <w:bookmarkStart w:id="394" w:name="_Toc582033780"/>
      <w:r>
        <w:rPr>
          <w:rFonts w:hint="default" w:ascii="Times New Roman" w:hAnsi="Times New Roman" w:cs="Times New Roman"/>
          <w:highlight w:val="none"/>
        </w:rPr>
        <w:t>数量指标</w:t>
      </w:r>
      <w:bookmarkEnd w:id="393"/>
      <w:bookmarkEnd w:id="394"/>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对于“新建（改扩建）学校数量”：评价组于2025年7月18日，去东彩小学项目现场参观，经现场踏勘了解，克拉玛依市克拉玛依区东彩小学新建工程于2024年6月4日开工。</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综上所述，该指标满分5分，得分5分。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对于“主城区普惠性中小学校覆盖率”：根据教育局提供的“2024年克拉玛依区学校基本情况统计表-小学”情况表，项目截至2024年12月31日，主城区普惠性中小学校覆盖率已达100％，指标完成率100%。</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综上所述，该指标满分5分，得分5分。</w:t>
      </w:r>
    </w:p>
    <w:p>
      <w:pPr>
        <w:pageBreakBefore w:val="0"/>
        <w:numPr>
          <w:ilvl w:val="0"/>
          <w:numId w:val="9"/>
        </w:numPr>
        <w:wordWrap/>
        <w:overflowPunct/>
        <w:topLinePunct w:val="0"/>
        <w:bidi w:val="0"/>
        <w:snapToGrid/>
        <w:spacing w:line="560" w:lineRule="exact"/>
        <w:ind w:left="0" w:leftChars="0" w:firstLine="640" w:firstLineChars="200"/>
        <w:rPr>
          <w:rFonts w:hint="eastAsia" w:ascii="Times New Roman" w:hAnsi="Times New Roman" w:eastAsia="仿宋_GB2312" w:cs="Times New Roman"/>
          <w:highlight w:val="none"/>
          <w:lang w:eastAsia="zh-CN"/>
        </w:rPr>
      </w:pPr>
      <w:bookmarkStart w:id="395" w:name="_Toc1787764080"/>
      <w:bookmarkStart w:id="396" w:name="_Toc453728375"/>
      <w:r>
        <w:rPr>
          <w:rFonts w:hint="default" w:ascii="Times New Roman" w:hAnsi="Times New Roman" w:cs="Times New Roman"/>
          <w:highlight w:val="none"/>
        </w:rPr>
        <w:t>质量指标</w:t>
      </w:r>
      <w:bookmarkEnd w:id="395"/>
      <w:bookmarkEnd w:id="396"/>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对于“新建或改造校舍质量达标率”：现场踏勘了解，已完工质量达到100％。</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综上所述，该指标满分10分，得分10分。</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对于“政府债券资金规范管理使用率”：现场踏勘了解，并查阅项目相关支出附件，支出使用合理，指标完成率100%。</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综上所述，该指标满分10分，得分10分。</w:t>
      </w:r>
    </w:p>
    <w:p>
      <w:pPr>
        <w:pageBreakBefore w:val="0"/>
        <w:numPr>
          <w:ilvl w:val="0"/>
          <w:numId w:val="9"/>
        </w:numPr>
        <w:wordWrap/>
        <w:overflowPunct/>
        <w:topLinePunct w:val="0"/>
        <w:bidi w:val="0"/>
        <w:snapToGrid/>
        <w:spacing w:line="560" w:lineRule="exact"/>
        <w:ind w:left="0" w:leftChars="0" w:firstLine="640" w:firstLineChars="200"/>
        <w:rPr>
          <w:rFonts w:hint="default" w:ascii="Times New Roman" w:hAnsi="Times New Roman" w:cs="Times New Roman"/>
          <w:highlight w:val="none"/>
        </w:rPr>
      </w:pPr>
      <w:bookmarkStart w:id="397" w:name="_Toc1507187383"/>
      <w:bookmarkStart w:id="398" w:name="_Toc98368128"/>
      <w:r>
        <w:rPr>
          <w:rFonts w:hint="default" w:ascii="Times New Roman" w:hAnsi="Times New Roman" w:cs="Times New Roman"/>
          <w:highlight w:val="none"/>
        </w:rPr>
        <w:t>时效指标</w:t>
      </w:r>
      <w:bookmarkEnd w:id="397"/>
      <w:bookmarkEnd w:id="398"/>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政府债券资金三个月内形成支出”：查阅克拉玛依市财政局2024年5月27日下发的《关于转贷2024年自治区第三批地方政府债券的通知》（克财预〔2024〕6号）文件，一、地方政府债券转贷额度情况，还本付息期限从2024年5月24日起计算，另查阅克拉玛依市克拉玛依区教育局国库集中支付凭证，付款日期为2024年06月14日，已在三个月内形成支出，指标完成率100%。</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综上所述，该指标满分10分，得分10分。</w:t>
      </w:r>
    </w:p>
    <w:p>
      <w:pPr>
        <w:pStyle w:val="4"/>
        <w:bidi w:val="0"/>
        <w:rPr>
          <w:rFonts w:hint="default"/>
          <w:highlight w:val="none"/>
        </w:rPr>
      </w:pPr>
      <w:bookmarkStart w:id="399" w:name="bookmark45"/>
      <w:bookmarkEnd w:id="399"/>
      <w:bookmarkStart w:id="400" w:name="_Toc765746732"/>
      <w:bookmarkStart w:id="401" w:name="_Toc420847096"/>
      <w:bookmarkStart w:id="402" w:name="_Toc1728729716"/>
      <w:bookmarkStart w:id="403" w:name="_Toc1780383866"/>
      <w:bookmarkStart w:id="404" w:name="_Toc1939918611"/>
      <w:bookmarkStart w:id="405" w:name="_Toc1858202753"/>
      <w:r>
        <w:rPr>
          <w:rFonts w:hint="default"/>
          <w:highlight w:val="none"/>
        </w:rPr>
        <w:t>（四）效益情况分析</w:t>
      </w:r>
      <w:bookmarkEnd w:id="400"/>
      <w:bookmarkEnd w:id="401"/>
      <w:bookmarkEnd w:id="402"/>
      <w:bookmarkEnd w:id="403"/>
      <w:bookmarkEnd w:id="404"/>
      <w:bookmarkEnd w:id="405"/>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项目效益类指标是从社会效益指标对项目实施进行考察，项目效益类指标分值20分，实际得分20分。指标的得分情况如表4-4所示。</w:t>
      </w:r>
    </w:p>
    <w:p>
      <w:pPr>
        <w:pageBreakBefore w:val="0"/>
        <w:wordWrap/>
        <w:overflowPunct/>
        <w:topLinePunct w:val="0"/>
        <w:bidi w:val="0"/>
        <w:snapToGrid/>
        <w:spacing w:line="560" w:lineRule="exact"/>
        <w:ind w:left="0" w:leftChars="0" w:firstLine="0" w:firstLineChars="0"/>
        <w:jc w:val="center"/>
        <w:rPr>
          <w:rFonts w:hint="default" w:ascii="Times New Roman" w:hAnsi="Times New Roman" w:cs="Times New Roman"/>
          <w:highlight w:val="none"/>
        </w:rPr>
      </w:pPr>
      <w:r>
        <w:rPr>
          <w:rFonts w:hint="eastAsia" w:ascii="方正仿宋_GB2312" w:hAnsi="方正仿宋_GB2312" w:eastAsia="方正仿宋_GB2312" w:cs="方正仿宋_GB2312"/>
          <w:b/>
          <w:bCs/>
          <w:sz w:val="24"/>
          <w:szCs w:val="24"/>
          <w:highlight w:val="none"/>
        </w:rPr>
        <w:t>表4-4　项目产出指标得分情况</w:t>
      </w:r>
    </w:p>
    <w:tbl>
      <w:tblPr>
        <w:tblStyle w:val="25"/>
        <w:tblW w:w="84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3"/>
        <w:gridCol w:w="836"/>
        <w:gridCol w:w="1586"/>
        <w:gridCol w:w="726"/>
        <w:gridCol w:w="2926"/>
        <w:gridCol w:w="607"/>
        <w:gridCol w:w="5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33" w:type="dxa"/>
            <w:tcBorders>
              <w:bottom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836" w:type="dxa"/>
            <w:tcBorders>
              <w:bottom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分值</w:t>
            </w:r>
          </w:p>
        </w:tc>
        <w:tc>
          <w:tcPr>
            <w:tcW w:w="1586" w:type="dxa"/>
            <w:tcBorders>
              <w:bottom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726" w:type="dxa"/>
            <w:tcBorders>
              <w:bottom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分值</w:t>
            </w:r>
          </w:p>
        </w:tc>
        <w:tc>
          <w:tcPr>
            <w:tcW w:w="2926" w:type="dxa"/>
            <w:tcBorders>
              <w:bottom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60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分值</w:t>
            </w:r>
          </w:p>
        </w:tc>
        <w:tc>
          <w:tcPr>
            <w:tcW w:w="562"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 w:hRule="atLeast"/>
        </w:trPr>
        <w:tc>
          <w:tcPr>
            <w:tcW w:w="1233" w:type="dxa"/>
            <w:vMerge w:val="restart"/>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项目效益</w:t>
            </w:r>
          </w:p>
        </w:tc>
        <w:tc>
          <w:tcPr>
            <w:tcW w:w="836" w:type="dxa"/>
            <w:vMerge w:val="restart"/>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586" w:type="dxa"/>
            <w:vMerge w:val="restart"/>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社会效益指标</w:t>
            </w:r>
          </w:p>
        </w:tc>
        <w:tc>
          <w:tcPr>
            <w:tcW w:w="726" w:type="dxa"/>
            <w:vMerge w:val="restart"/>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2926" w:type="dxa"/>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义务教育服务能力、水平</w:t>
            </w:r>
          </w:p>
        </w:tc>
        <w:tc>
          <w:tcPr>
            <w:tcW w:w="607"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562"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6" w:hRule="atLeast"/>
        </w:trPr>
        <w:tc>
          <w:tcPr>
            <w:tcW w:w="1233"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836"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586"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p>
        </w:tc>
        <w:tc>
          <w:tcPr>
            <w:tcW w:w="726" w:type="dxa"/>
            <w:vMerge w:val="continue"/>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p>
        </w:tc>
        <w:tc>
          <w:tcPr>
            <w:tcW w:w="2926" w:type="dxa"/>
            <w:tcBorders>
              <w:top w:val="single" w:color="auto" w:sz="4" w:space="0"/>
              <w:left w:val="single" w:color="auto" w:sz="4" w:space="0"/>
              <w:bottom w:val="single" w:color="auto" w:sz="4" w:space="0"/>
              <w:righ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义务教育关注度、社会影响力</w:t>
            </w:r>
          </w:p>
        </w:tc>
        <w:tc>
          <w:tcPr>
            <w:tcW w:w="607" w:type="dxa"/>
            <w:tcBorders>
              <w:left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562"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rPr>
        <w:tc>
          <w:tcPr>
            <w:tcW w:w="7307" w:type="dxa"/>
            <w:gridSpan w:val="5"/>
            <w:tcBorders>
              <w:top w:val="single" w:color="auto" w:sz="4" w:space="0"/>
            </w:tcBorders>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合计</w:t>
            </w:r>
          </w:p>
        </w:tc>
        <w:tc>
          <w:tcPr>
            <w:tcW w:w="607"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w:t>
            </w:r>
          </w:p>
        </w:tc>
        <w:tc>
          <w:tcPr>
            <w:tcW w:w="562" w:type="dxa"/>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20</w:t>
            </w:r>
          </w:p>
        </w:tc>
      </w:tr>
    </w:tbl>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对于“义务教育服务能力、水平”： 经现场踏勘确认，校园空间规划充分满足现代教育需求。教学楼采用南向采光设计，教室配备新风系统；公共区域设置开放式阅读角、科创长廊及生态景观带，构建沉浸式学习场景。为师生营造安全、包容、激发探索欲的成长环境，有效支撑学生综合素质发展，义务教育服务能力、水平显著增强。</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综上所述，该指标满分10分，得分10分。</w:t>
      </w:r>
    </w:p>
    <w:p>
      <w:pPr>
        <w:pageBreakBefore w:val="0"/>
        <w:wordWrap/>
        <w:overflowPunct/>
        <w:topLinePunct w:val="0"/>
        <w:bidi w:val="0"/>
        <w:snapToGrid/>
        <w:spacing w:line="560" w:lineRule="exact"/>
        <w:rPr>
          <w:rFonts w:hint="eastAsia" w:ascii="仿宋_GB2312" w:hAnsi="仿宋_GB2312" w:eastAsia="仿宋_GB2312" w:cs="仿宋_GB2312"/>
          <w:highlight w:val="none"/>
        </w:rPr>
      </w:pPr>
      <w:r>
        <w:rPr>
          <w:rFonts w:hint="eastAsia" w:ascii="仿宋_GB2312" w:hAnsi="仿宋_GB2312" w:eastAsia="仿宋_GB2312" w:cs="仿宋_GB2312"/>
          <w:highlight w:val="none"/>
        </w:rPr>
        <w:t>对于“义务教育关注度、社会影响力”：家长开放日参与率较高；区域教育公众号推文阅读量较多，实现义务教育关注度与社会影响力稳步提升。</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综上所述，该指标满分10分，得分10分。</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406" w:name="bookmark47"/>
      <w:bookmarkEnd w:id="406"/>
      <w:bookmarkStart w:id="407" w:name="_Toc1513492901"/>
      <w:bookmarkStart w:id="408" w:name="_Toc2021982211"/>
      <w:bookmarkStart w:id="409" w:name="_Toc109870137"/>
      <w:bookmarkStart w:id="410" w:name="_Toc870027011"/>
      <w:bookmarkStart w:id="411" w:name="_Toc1115366323"/>
      <w:bookmarkStart w:id="412" w:name="_Toc300656183"/>
      <w:r>
        <w:rPr>
          <w:rFonts w:hint="default" w:ascii="Times New Roman" w:hAnsi="Times New Roman" w:cs="Times New Roman"/>
          <w:highlight w:val="none"/>
        </w:rPr>
        <w:t>五、主要经验及做法</w:t>
      </w:r>
      <w:bookmarkEnd w:id="407"/>
      <w:bookmarkEnd w:id="408"/>
      <w:bookmarkEnd w:id="409"/>
      <w:bookmarkEnd w:id="410"/>
      <w:bookmarkEnd w:id="411"/>
      <w:bookmarkEnd w:id="412"/>
    </w:p>
    <w:p>
      <w:pPr>
        <w:pageBreakBefore w:val="0"/>
        <w:wordWrap/>
        <w:overflowPunct/>
        <w:topLinePunct w:val="0"/>
        <w:bidi w:val="0"/>
        <w:snapToGrid/>
        <w:spacing w:line="560" w:lineRule="exact"/>
        <w:rPr>
          <w:rFonts w:hint="default" w:ascii="仿宋_GB2312" w:hAnsi="仿宋_GB2312" w:eastAsia="仿宋_GB2312" w:cs="仿宋_GB2312"/>
          <w:highlight w:val="none"/>
        </w:rPr>
      </w:pPr>
      <w:bookmarkStart w:id="413" w:name="bookmark49"/>
      <w:bookmarkEnd w:id="413"/>
      <w:bookmarkStart w:id="414" w:name="_Toc1781332202"/>
      <w:bookmarkStart w:id="415" w:name="_Toc327821454"/>
      <w:bookmarkStart w:id="416" w:name="_Toc2140076355"/>
      <w:r>
        <w:rPr>
          <w:rFonts w:hint="default" w:ascii="仿宋_GB2312" w:hAnsi="仿宋_GB2312" w:eastAsia="仿宋_GB2312" w:cs="仿宋_GB2312"/>
          <w:highlight w:val="none"/>
        </w:rPr>
        <w:t>在推动东彩小学项目建设过程中，我局着力强化绩效导向与全过程监管，形成以下核心经验做法：</w:t>
      </w:r>
    </w:p>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强化源头管控，规划论证前置： 严把项目入口关，指导并联合相关部门对东彩小学建设规划方案进行多轮次联合论证与审核，确保项目设计科学、预算精准、目标明确，从源头上提升项目可行性与绩效预期。</w:t>
      </w:r>
    </w:p>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硬化过程监控，资金安全优先： 一是严控支付节点，严格执行“按进度、凭验收、后拨付”原则，确保财政资金拨付与项目实际进展、质量达标紧密挂钩，有效防范资金挪用、挤占风险。二是实施动态监控，联合教育主管部门建立定期巡查与不定期抽查机制，对照项目管理规范和预算执行要求，实时掌握建设进度、质量及资金流向，及时纠偏。</w:t>
      </w:r>
    </w:p>
    <w:p>
      <w:pPr>
        <w:pageBreakBefore w:val="0"/>
        <w:wordWrap/>
        <w:overflowPunct/>
        <w:topLinePunct w:val="0"/>
        <w:bidi w:val="0"/>
        <w:snapToGrid/>
        <w:spacing w:line="560" w:lineRule="exact"/>
        <w:rPr>
          <w:rFonts w:hint="default" w:ascii="仿宋_GB2312" w:hAnsi="仿宋_GB2312" w:eastAsia="仿宋_GB2312" w:cs="仿宋_GB2312"/>
          <w:highlight w:val="none"/>
        </w:rPr>
      </w:pPr>
      <w:r>
        <w:rPr>
          <w:rFonts w:hint="default" w:ascii="仿宋_GB2312" w:hAnsi="仿宋_GB2312" w:eastAsia="仿宋_GB2312" w:cs="仿宋_GB2312"/>
          <w:highlight w:val="none"/>
        </w:rPr>
        <w:t>深化协同监管，凝聚监督合力： 主动协调纪检、监察、审计等职能部门，将财政监督嵌入项目事前论证审核、事中跟踪检查、事后绩效评估全链条。推动监管“关口前移”，变被动的事后检查为主动的全过程监督，构建多部门联动、多环节覆盖的立体化监管格局，实现问题早发现、早处置。</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仿宋_GB2312" w:hAnsi="仿宋_GB2312" w:eastAsia="仿宋_GB2312" w:cs="仿宋_GB2312"/>
          <w:highlight w:val="none"/>
        </w:rPr>
        <w:t>优化绩效闭环，突出结果运用： 项目竣工后，不仅关注工程验收，更将受益方（师生、家长）满意度调查作为核心绩效评价指标，并督促落实长效运维机制。绩效评价结果直接反馈至后续预算安排及项目管理政策优化，确保财政投入精准有效、落到实处，切实提升公共服务供给质量与资金使用效益。</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417" w:name="_Toc1673790149"/>
      <w:bookmarkStart w:id="418" w:name="_Toc331388392"/>
      <w:bookmarkStart w:id="419" w:name="_Toc577035998"/>
      <w:r>
        <w:rPr>
          <w:rFonts w:hint="default" w:ascii="Times New Roman" w:hAnsi="Times New Roman" w:cs="Times New Roman"/>
          <w:highlight w:val="none"/>
        </w:rPr>
        <w:t>六、存在问题及原因分析</w:t>
      </w:r>
      <w:bookmarkEnd w:id="414"/>
      <w:bookmarkEnd w:id="415"/>
      <w:bookmarkEnd w:id="416"/>
      <w:bookmarkEnd w:id="417"/>
      <w:bookmarkEnd w:id="418"/>
      <w:bookmarkEnd w:id="419"/>
      <w:bookmarkStart w:id="420" w:name="_Toc1704233305"/>
      <w:bookmarkStart w:id="421" w:name="_Toc884807310"/>
      <w:bookmarkStart w:id="422" w:name="_Toc1697953830"/>
    </w:p>
    <w:p>
      <w:pPr>
        <w:pStyle w:val="4"/>
        <w:bidi w:val="0"/>
        <w:rPr>
          <w:rFonts w:hint="default"/>
          <w:highlight w:val="none"/>
        </w:rPr>
      </w:pPr>
      <w:bookmarkStart w:id="423" w:name="_Toc1838040916"/>
      <w:bookmarkStart w:id="424" w:name="_Toc32814963"/>
      <w:bookmarkStart w:id="425" w:name="_Toc214749496"/>
      <w:r>
        <w:rPr>
          <w:rFonts w:hint="eastAsia"/>
          <w:highlight w:val="none"/>
          <w:lang w:val="en-US" w:eastAsia="zh-CN"/>
        </w:rPr>
        <w:t>（一）</w:t>
      </w:r>
      <w:r>
        <w:rPr>
          <w:rFonts w:hint="default"/>
          <w:highlight w:val="none"/>
        </w:rPr>
        <w:t>个别绩效目标及指标设置不合理</w:t>
      </w:r>
      <w:bookmarkEnd w:id="423"/>
      <w:bookmarkEnd w:id="424"/>
      <w:bookmarkEnd w:id="425"/>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鉴于该项目完工日期为2026年，目前尚未完工，因此2024年设定该项目绩效目标时，社会效益指标中不宜纳入“义务教育服务能力、水平”，不具备对义务教育能力和水平进行测评的条件</w:t>
      </w:r>
      <w:r>
        <w:rPr>
          <w:rFonts w:hint="eastAsia" w:ascii="Times New Roman" w:hAnsi="Times New Roman" w:cs="Times New Roman"/>
          <w:highlight w:val="none"/>
          <w:lang w:eastAsia="zh-CN"/>
        </w:rPr>
        <w:t>；</w:t>
      </w:r>
      <w:r>
        <w:rPr>
          <w:rFonts w:hint="default" w:ascii="Times New Roman" w:hAnsi="Times New Roman" w:cs="Times New Roman"/>
          <w:highlight w:val="none"/>
        </w:rPr>
        <w:t>部分指标无法衡量，例如满意度指标“服务对象满意度”指标值“≥85％”</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426" w:name="_Toc1304122192"/>
      <w:bookmarkStart w:id="427" w:name="_Toc1521921073"/>
      <w:bookmarkStart w:id="428" w:name="_Toc1398054458"/>
      <w:r>
        <w:rPr>
          <w:rFonts w:hint="default" w:ascii="Times New Roman" w:hAnsi="Times New Roman" w:cs="Times New Roman"/>
          <w:highlight w:val="none"/>
        </w:rPr>
        <w:t>七、</w:t>
      </w:r>
      <w:r>
        <w:rPr>
          <w:rFonts w:hint="eastAsia" w:ascii="Times New Roman" w:hAnsi="Times New Roman" w:cs="Times New Roman"/>
          <w:highlight w:val="none"/>
          <w:lang w:eastAsia="zh-CN"/>
        </w:rPr>
        <w:t>相关</w:t>
      </w:r>
      <w:r>
        <w:rPr>
          <w:rFonts w:hint="default" w:ascii="Times New Roman" w:hAnsi="Times New Roman" w:cs="Times New Roman"/>
          <w:highlight w:val="none"/>
        </w:rPr>
        <w:t>建议</w:t>
      </w:r>
      <w:bookmarkEnd w:id="420"/>
      <w:bookmarkEnd w:id="421"/>
      <w:bookmarkEnd w:id="422"/>
      <w:bookmarkEnd w:id="426"/>
      <w:bookmarkEnd w:id="427"/>
      <w:bookmarkEnd w:id="428"/>
    </w:p>
    <w:p>
      <w:pPr>
        <w:pStyle w:val="4"/>
        <w:bidi w:val="0"/>
        <w:rPr>
          <w:rFonts w:hint="default"/>
          <w:highlight w:val="none"/>
        </w:rPr>
      </w:pPr>
      <w:bookmarkStart w:id="429" w:name="bookmark56"/>
      <w:bookmarkEnd w:id="429"/>
      <w:bookmarkStart w:id="430" w:name="bookmark58"/>
      <w:bookmarkEnd w:id="430"/>
      <w:bookmarkStart w:id="431" w:name="_Toc234103865"/>
      <w:bookmarkStart w:id="432" w:name="_Toc1440734420"/>
      <w:bookmarkStart w:id="433" w:name="_Toc1297289652"/>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default"/>
          <w:highlight w:val="none"/>
        </w:rPr>
        <w:t>加强绩效目标管理，提升绩效目标编制水平。</w:t>
      </w:r>
      <w:bookmarkEnd w:id="431"/>
      <w:bookmarkEnd w:id="432"/>
      <w:bookmarkEnd w:id="433"/>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加强学习研究，提高绩效目标科学性。加强对预算绩效管理相关规章制度的学习和研究，严格按照“指向明确、细化量化、合理可行、相应匹配”的原则编制项目绩效目标，提高绩效目标设置的科学性。</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434" w:name="bookmark59"/>
      <w:bookmarkEnd w:id="434"/>
      <w:bookmarkStart w:id="435" w:name="bookmark60"/>
      <w:bookmarkEnd w:id="435"/>
      <w:bookmarkStart w:id="436" w:name="_Toc2137841439"/>
      <w:bookmarkStart w:id="437" w:name="_Toc869941031"/>
      <w:bookmarkStart w:id="438" w:name="_Toc1704137489"/>
      <w:bookmarkStart w:id="439" w:name="_Toc1406057184"/>
      <w:bookmarkStart w:id="440" w:name="_Toc1951047934"/>
      <w:bookmarkStart w:id="441" w:name="_Toc1283908297"/>
      <w:r>
        <w:rPr>
          <w:rFonts w:hint="default" w:ascii="Times New Roman" w:hAnsi="Times New Roman" w:cs="Times New Roman"/>
          <w:highlight w:val="none"/>
        </w:rPr>
        <w:t>八、绩效评价结果应用建议</w:t>
      </w:r>
      <w:bookmarkEnd w:id="436"/>
      <w:bookmarkEnd w:id="437"/>
      <w:bookmarkEnd w:id="438"/>
      <w:bookmarkEnd w:id="439"/>
      <w:bookmarkEnd w:id="440"/>
      <w:bookmarkEnd w:id="441"/>
    </w:p>
    <w:p>
      <w:pPr>
        <w:pStyle w:val="4"/>
        <w:bidi w:val="0"/>
        <w:rPr>
          <w:rFonts w:hint="default"/>
          <w:highlight w:val="none"/>
        </w:rPr>
      </w:pPr>
      <w:bookmarkStart w:id="442" w:name="bookmark61"/>
      <w:bookmarkEnd w:id="442"/>
      <w:bookmarkStart w:id="443" w:name="bookmark62"/>
      <w:bookmarkEnd w:id="443"/>
      <w:bookmarkStart w:id="444" w:name="_Toc1152167316"/>
      <w:bookmarkStart w:id="445" w:name="_Toc731062623"/>
      <w:bookmarkStart w:id="446" w:name="_Toc693039900"/>
      <w:bookmarkStart w:id="447" w:name="_Toc449377584"/>
      <w:bookmarkStart w:id="448" w:name="_Toc1334820695"/>
      <w:bookmarkStart w:id="449" w:name="_Toc1030239241"/>
      <w:r>
        <w:rPr>
          <w:rFonts w:hint="default"/>
          <w:highlight w:val="none"/>
        </w:rPr>
        <w:t>（一）对评价中发现的问题进行整改</w:t>
      </w:r>
      <w:bookmarkEnd w:id="444"/>
      <w:bookmarkEnd w:id="445"/>
      <w:bookmarkEnd w:id="446"/>
      <w:bookmarkEnd w:id="447"/>
      <w:bookmarkEnd w:id="448"/>
      <w:bookmarkEnd w:id="449"/>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cs="Times New Roman"/>
          <w:highlight w:val="none"/>
        </w:rPr>
        <w:t>建议克拉玛依区教育局及时研究制定整改措施，确定整改期限，积极整改，加强制度建设，健全完善资金管理、项目管理和绩效管理等相关制度和办法，按期完成整改任务</w:t>
      </w:r>
      <w:r>
        <w:rPr>
          <w:rFonts w:hint="default" w:ascii="Times New Roman" w:hAnsi="Times New Roman" w:eastAsia="仿宋_GB2312" w:cs="Times New Roman"/>
          <w:highlight w:val="none"/>
        </w:rPr>
        <w:t>。</w:t>
      </w:r>
    </w:p>
    <w:p>
      <w:pPr>
        <w:pStyle w:val="4"/>
        <w:bidi w:val="0"/>
        <w:rPr>
          <w:rFonts w:hint="eastAsia"/>
          <w:highlight w:val="none"/>
          <w:lang w:eastAsia="zh-CN"/>
        </w:rPr>
      </w:pPr>
      <w:bookmarkStart w:id="450" w:name="bookmark64"/>
      <w:bookmarkEnd w:id="450"/>
      <w:bookmarkStart w:id="451" w:name="bookmark63"/>
      <w:bookmarkEnd w:id="451"/>
      <w:bookmarkStart w:id="452" w:name="_Toc2136551436"/>
      <w:bookmarkStart w:id="453" w:name="_Toc616035013"/>
      <w:bookmarkStart w:id="454" w:name="_Toc2117781619"/>
      <w:bookmarkStart w:id="455" w:name="_Toc1717244303"/>
      <w:bookmarkStart w:id="456" w:name="_Toc70277726"/>
      <w:bookmarkStart w:id="457" w:name="_Toc1215560274"/>
      <w:r>
        <w:rPr>
          <w:rFonts w:hint="default"/>
          <w:highlight w:val="none"/>
        </w:rPr>
        <w:t>（二）</w:t>
      </w:r>
      <w:bookmarkEnd w:id="452"/>
      <w:bookmarkEnd w:id="453"/>
      <w:bookmarkEnd w:id="454"/>
      <w:r>
        <w:rPr>
          <w:rFonts w:hint="eastAsia"/>
          <w:highlight w:val="none"/>
          <w:lang w:eastAsia="zh-CN"/>
        </w:rPr>
        <w:t>完善绩效管理激励约束机制</w:t>
      </w:r>
      <w:bookmarkEnd w:id="455"/>
      <w:bookmarkEnd w:id="456"/>
      <w:bookmarkEnd w:id="457"/>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建议根据关于预算绩效管理相关政策要求，逐步健全绩效管理激励约束机制，</w:t>
      </w:r>
      <w:r>
        <w:rPr>
          <w:rFonts w:hint="eastAsia" w:ascii="Times New Roman" w:hAnsi="Times New Roman" w:cs="Times New Roman"/>
          <w:highlight w:val="none"/>
          <w:lang w:eastAsia="zh-CN"/>
        </w:rPr>
        <w:t>做好部门预算资金结果运用，</w:t>
      </w:r>
      <w:r>
        <w:rPr>
          <w:rFonts w:hint="default" w:ascii="Times New Roman" w:hAnsi="Times New Roman" w:cs="Times New Roman"/>
          <w:highlight w:val="none"/>
        </w:rPr>
        <w:t>促使部门履行好预算绩效管理的主体责任，促进克拉玛依区教育局的预算编制更精准更科学更完整，绩效目标设置更明确更细化更全面，切实提高财政资源配置效率和使用效率。</w:t>
      </w:r>
    </w:p>
    <w:p>
      <w:pPr>
        <w:pStyle w:val="4"/>
        <w:bidi w:val="0"/>
        <w:rPr>
          <w:rFonts w:hint="default"/>
          <w:highlight w:val="none"/>
        </w:rPr>
      </w:pPr>
      <w:bookmarkStart w:id="458" w:name="bookmark65"/>
      <w:bookmarkEnd w:id="458"/>
      <w:bookmarkStart w:id="459" w:name="bookmark66"/>
      <w:bookmarkEnd w:id="459"/>
      <w:bookmarkStart w:id="460" w:name="_Toc681801304"/>
      <w:bookmarkStart w:id="461" w:name="_Toc945923365"/>
      <w:bookmarkStart w:id="462" w:name="_Toc1161705155"/>
      <w:bookmarkStart w:id="463" w:name="_Toc41735032"/>
      <w:bookmarkStart w:id="464" w:name="_Toc1692268488"/>
      <w:bookmarkStart w:id="465" w:name="_Toc909591207"/>
      <w:r>
        <w:rPr>
          <w:rFonts w:hint="default"/>
          <w:highlight w:val="none"/>
        </w:rPr>
        <w:t>（三）评价结果公开</w:t>
      </w:r>
      <w:bookmarkEnd w:id="460"/>
      <w:bookmarkEnd w:id="461"/>
      <w:bookmarkEnd w:id="462"/>
      <w:bookmarkEnd w:id="463"/>
      <w:bookmarkEnd w:id="464"/>
      <w:bookmarkEnd w:id="465"/>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建议按照政府信息公开等有关要求，遵循“谁组织实施、谁进行公开”的原则，根据上级统一部署，对绩效评价结果采取适度公开，不断提升绩效评价社会参与度。</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466" w:name="bookmark67"/>
      <w:bookmarkEnd w:id="466"/>
      <w:bookmarkStart w:id="467" w:name="_Toc312556814"/>
      <w:bookmarkStart w:id="468" w:name="_Toc1710816703"/>
      <w:bookmarkStart w:id="469" w:name="_Toc2004705208"/>
      <w:bookmarkStart w:id="470" w:name="_Toc1361013902"/>
      <w:bookmarkStart w:id="471" w:name="_Toc61775936"/>
      <w:bookmarkStart w:id="472" w:name="_Toc683056948"/>
      <w:r>
        <w:rPr>
          <w:rFonts w:hint="default" w:ascii="Times New Roman" w:hAnsi="Times New Roman" w:cs="Times New Roman"/>
          <w:highlight w:val="none"/>
        </w:rPr>
        <w:t>九、其他需要说明的情况</w:t>
      </w:r>
      <w:bookmarkEnd w:id="467"/>
      <w:bookmarkEnd w:id="468"/>
      <w:bookmarkEnd w:id="469"/>
      <w:bookmarkEnd w:id="470"/>
      <w:bookmarkEnd w:id="471"/>
      <w:bookmarkEnd w:id="472"/>
    </w:p>
    <w:p>
      <w:pPr>
        <w:pStyle w:val="4"/>
        <w:bidi w:val="0"/>
        <w:rPr>
          <w:rFonts w:hint="default"/>
          <w:highlight w:val="none"/>
        </w:rPr>
      </w:pPr>
      <w:bookmarkStart w:id="473" w:name="bookmark69"/>
      <w:bookmarkEnd w:id="473"/>
      <w:bookmarkStart w:id="474" w:name="bookmark70"/>
      <w:bookmarkEnd w:id="474"/>
      <w:bookmarkStart w:id="475" w:name="bookmark68"/>
      <w:bookmarkEnd w:id="475"/>
      <w:bookmarkStart w:id="476" w:name="_Toc1037777638"/>
      <w:bookmarkStart w:id="477" w:name="_Toc1033554851"/>
      <w:bookmarkStart w:id="478" w:name="_Toc1712326717"/>
      <w:bookmarkStart w:id="479" w:name="_Toc1838031821"/>
      <w:bookmarkStart w:id="480" w:name="_Toc397372336"/>
      <w:bookmarkStart w:id="481" w:name="_Toc1209493073"/>
      <w:r>
        <w:rPr>
          <w:rFonts w:hint="default"/>
          <w:highlight w:val="none"/>
        </w:rPr>
        <w:t>（一）关于评价责任的说明</w:t>
      </w:r>
      <w:bookmarkEnd w:id="476"/>
      <w:bookmarkEnd w:id="477"/>
      <w:bookmarkEnd w:id="478"/>
      <w:bookmarkEnd w:id="479"/>
      <w:bookmarkEnd w:id="480"/>
      <w:bookmarkEnd w:id="481"/>
    </w:p>
    <w:p>
      <w:pPr>
        <w:pageBreakBefore w:val="0"/>
        <w:wordWrap/>
        <w:overflowPunct/>
        <w:topLinePunct w:val="0"/>
        <w:bidi w:val="0"/>
        <w:snapToGrid/>
        <w:spacing w:line="560" w:lineRule="exact"/>
        <w:ind w:firstLine="960" w:firstLineChars="300"/>
        <w:rPr>
          <w:rFonts w:hint="default" w:ascii="Times New Roman" w:hAnsi="Times New Roman" w:cs="Times New Roman"/>
          <w:highlight w:val="none"/>
        </w:rPr>
      </w:pPr>
      <w:r>
        <w:rPr>
          <w:rFonts w:hint="default" w:ascii="Times New Roman" w:hAnsi="Times New Roman" w:cs="Times New Roman"/>
          <w:highlight w:val="none"/>
        </w:rPr>
        <w:t>1.克拉玛依区教育局提供了绩效评价报告相关的大部分基础工作材料和资金财务资料，并对其真实性、合法性、完整性负责。绩效评价结论的可靠性基于相关部门和单位提供资料真实性、完整性，项目绩效评价小组已尽可能地收集更为全面、有效、准确的文件和数据，但由于受客观因素的限制，项目绩效评价小组只能在上述单位提供现有资料的前提下，结合应有的职业判断作出尽可能可靠的评价结论。本报告使用人对评价结果的把握应建立在对本报告所提供的有关评价结果的各项条件及说明的认真阅读和理解的基础之上。</w:t>
      </w:r>
    </w:p>
    <w:p>
      <w:pPr>
        <w:pageBreakBefore w:val="0"/>
        <w:wordWrap/>
        <w:overflowPunct/>
        <w:topLinePunct w:val="0"/>
        <w:bidi w:val="0"/>
        <w:snapToGrid/>
        <w:spacing w:line="560" w:lineRule="exact"/>
        <w:ind w:firstLine="640" w:firstLineChars="200"/>
        <w:rPr>
          <w:rFonts w:hint="default" w:ascii="Times New Roman" w:hAnsi="Times New Roman" w:cs="Times New Roman"/>
          <w:highlight w:val="none"/>
        </w:rPr>
      </w:pPr>
      <w:r>
        <w:rPr>
          <w:rFonts w:hint="default" w:ascii="Times New Roman" w:hAnsi="Times New Roman" w:cs="Times New Roman"/>
          <w:highlight w:val="none"/>
        </w:rPr>
        <w:t>2.</w:t>
      </w:r>
      <w:r>
        <w:rPr>
          <w:rFonts w:hint="eastAsia" w:ascii="Times New Roman" w:hAnsi="Times New Roman" w:cs="Times New Roman"/>
          <w:highlight w:val="none"/>
          <w:lang w:eastAsia="zh-CN"/>
        </w:rPr>
        <w:t>受托方</w:t>
      </w:r>
      <w:r>
        <w:rPr>
          <w:rFonts w:hint="default" w:ascii="Times New Roman" w:hAnsi="Times New Roman" w:cs="Times New Roman"/>
          <w:highlight w:val="none"/>
        </w:rPr>
        <w:t>与委托方和预算单位之间不存在任何特殊的、需要回避的利害关系，项目绩效评价小组成员在开展绩效评价过程中恪守了职业道德规范。</w:t>
      </w:r>
    </w:p>
    <w:p>
      <w:pPr>
        <w:pStyle w:val="4"/>
        <w:bidi w:val="0"/>
        <w:rPr>
          <w:rFonts w:hint="default"/>
          <w:highlight w:val="none"/>
        </w:rPr>
      </w:pPr>
      <w:bookmarkStart w:id="482" w:name="bookmark71"/>
      <w:bookmarkEnd w:id="482"/>
      <w:bookmarkStart w:id="483" w:name="bookmark72"/>
      <w:bookmarkEnd w:id="483"/>
      <w:bookmarkStart w:id="484" w:name="_Toc646779172"/>
      <w:bookmarkStart w:id="485" w:name="_Toc2108643821"/>
      <w:bookmarkStart w:id="486" w:name="_Toc2110192629"/>
      <w:bookmarkStart w:id="487" w:name="_Toc248553452"/>
      <w:bookmarkStart w:id="488" w:name="_Toc66580932"/>
      <w:bookmarkStart w:id="489" w:name="_Toc2017359056"/>
      <w:r>
        <w:rPr>
          <w:rFonts w:hint="default"/>
          <w:highlight w:val="none"/>
        </w:rPr>
        <w:t>（二）本次绩效评价的局限性</w:t>
      </w:r>
      <w:bookmarkEnd w:id="484"/>
      <w:bookmarkEnd w:id="485"/>
      <w:bookmarkEnd w:id="486"/>
      <w:bookmarkEnd w:id="487"/>
      <w:bookmarkEnd w:id="488"/>
      <w:bookmarkEnd w:id="489"/>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本次绩效评价采用“定量指标体系的打分评价”+“定性调查信息的归纳和提炼”两种方式互相补充，来构成对本次项目的完整评价。评价指标体系的设计与评价指标设置的完整性、科学合理程度会影响评价结果的全面性。评价结果与自评表、自评报告评分结果不具横向可比性。</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本次绩效评价相关附件目录如下:</w:t>
      </w:r>
    </w:p>
    <w:p>
      <w:pPr>
        <w:pageBreakBefore w:val="0"/>
        <w:wordWrap/>
        <w:overflowPunct/>
        <w:topLinePunct w:val="0"/>
        <w:bidi w:val="0"/>
        <w:snapToGrid/>
        <w:spacing w:line="560" w:lineRule="exact"/>
        <w:rPr>
          <w:rFonts w:hint="default" w:ascii="Times New Roman" w:hAnsi="Times New Roman" w:cs="Times New Roman"/>
          <w:highlight w:val="none"/>
        </w:rPr>
      </w:pPr>
      <w:bookmarkStart w:id="490" w:name="_Toc54073106"/>
      <w:bookmarkStart w:id="491" w:name="_Toc315085398"/>
      <w:r>
        <w:rPr>
          <w:rFonts w:hint="default" w:ascii="Times New Roman" w:hAnsi="Times New Roman" w:cs="Times New Roman"/>
          <w:highlight w:val="none"/>
        </w:rPr>
        <w:t>附件1:综合评分表</w:t>
      </w:r>
      <w:bookmarkEnd w:id="490"/>
      <w:bookmarkEnd w:id="491"/>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附件2:绩效评价报告征求部门意见反馈表</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附件3:访谈报告</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附件4:满意度调查问卷结果分析报告以及调查问卷样表</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附件5:现场调研照片</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附件6:项目单位自评表及评价报告</w:t>
      </w:r>
    </w:p>
    <w:p>
      <w:pPr>
        <w:keepNext w:val="0"/>
        <w:keepLines w:val="0"/>
        <w:pageBreakBefore w:val="0"/>
        <w:widowControl/>
        <w:kinsoku w:val="0"/>
        <w:wordWrap/>
        <w:overflowPunct/>
        <w:topLinePunct w:val="0"/>
        <w:autoSpaceDE w:val="0"/>
        <w:autoSpaceDN w:val="0"/>
        <w:bidi w:val="0"/>
        <w:adjustRightInd w:val="0"/>
        <w:snapToGrid/>
        <w:spacing w:line="560" w:lineRule="exact"/>
        <w:ind w:left="640" w:leftChars="200"/>
        <w:jc w:val="right"/>
        <w:textAlignment w:val="baseline"/>
        <w:rPr>
          <w:rFonts w:hint="default" w:ascii="Times New Roman" w:hAnsi="Times New Roman" w:eastAsia="仿宋_GB2312" w:cs="Times New Roman"/>
          <w:sz w:val="31"/>
          <w:szCs w:val="3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ind w:left="0" w:leftChars="0" w:firstLine="0" w:firstLineChars="0"/>
        <w:jc w:val="both"/>
        <w:textAlignment w:val="baseline"/>
        <w:rPr>
          <w:rFonts w:hint="default" w:ascii="Times New Roman" w:hAnsi="Times New Roman" w:eastAsia="仿宋_GB2312" w:cs="Times New Roman"/>
          <w:sz w:val="31"/>
          <w:szCs w:val="3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ind w:left="640" w:leftChars="200"/>
        <w:jc w:val="right"/>
        <w:textAlignment w:val="baseline"/>
        <w:rPr>
          <w:rFonts w:hint="default" w:ascii="Times New Roman" w:hAnsi="Times New Roman" w:eastAsia="仿宋_GB2312" w:cs="Times New Roman"/>
          <w:sz w:val="31"/>
          <w:szCs w:val="31"/>
          <w:highlight w:val="none"/>
        </w:rPr>
      </w:pPr>
      <w:r>
        <w:rPr>
          <w:rFonts w:hint="default" w:ascii="Times New Roman" w:hAnsi="Times New Roman" w:eastAsia="仿宋_GB2312" w:cs="Times New Roman"/>
          <w:sz w:val="31"/>
          <w:szCs w:val="31"/>
          <w:highlight w:val="none"/>
        </w:rPr>
        <w:t>第三方评价机构全称(盖章)</w:t>
      </w:r>
    </w:p>
    <w:p>
      <w:pPr>
        <w:keepNext w:val="0"/>
        <w:keepLines w:val="0"/>
        <w:pageBreakBefore w:val="0"/>
        <w:widowControl/>
        <w:kinsoku w:val="0"/>
        <w:wordWrap/>
        <w:overflowPunct/>
        <w:topLinePunct w:val="0"/>
        <w:autoSpaceDE w:val="0"/>
        <w:autoSpaceDN w:val="0"/>
        <w:bidi w:val="0"/>
        <w:adjustRightInd w:val="0"/>
        <w:snapToGrid/>
        <w:spacing w:line="560" w:lineRule="exact"/>
        <w:jc w:val="right"/>
        <w:textAlignment w:val="baseline"/>
        <w:rPr>
          <w:rFonts w:hint="default" w:ascii="Times New Roman" w:hAnsi="Times New Roman" w:eastAsia="仿宋_GB2312" w:cs="Times New Roman"/>
          <w:sz w:val="31"/>
          <w:szCs w:val="31"/>
          <w:highlight w:val="none"/>
        </w:rPr>
      </w:pPr>
      <w:r>
        <w:rPr>
          <w:rFonts w:hint="default" w:ascii="Times New Roman" w:hAnsi="Times New Roman" w:eastAsia="仿宋_GB2312" w:cs="Times New Roman"/>
          <w:sz w:val="31"/>
          <w:szCs w:val="31"/>
          <w:highlight w:val="none"/>
        </w:rPr>
        <w:t>法定代表人(签字)</w:t>
      </w:r>
    </w:p>
    <w:p>
      <w:pPr>
        <w:keepNext w:val="0"/>
        <w:keepLines w:val="0"/>
        <w:pageBreakBefore w:val="0"/>
        <w:widowControl/>
        <w:kinsoku w:val="0"/>
        <w:wordWrap/>
        <w:overflowPunct/>
        <w:topLinePunct w:val="0"/>
        <w:autoSpaceDE w:val="0"/>
        <w:autoSpaceDN w:val="0"/>
        <w:bidi w:val="0"/>
        <w:adjustRightInd w:val="0"/>
        <w:snapToGrid/>
        <w:spacing w:line="560" w:lineRule="exact"/>
        <w:jc w:val="right"/>
        <w:textAlignment w:val="baseline"/>
        <w:rPr>
          <w:rFonts w:hint="default" w:ascii="Times New Roman" w:hAnsi="Times New Roman" w:eastAsia="仿宋_GB2312" w:cs="Times New Roman"/>
          <w:sz w:val="31"/>
          <w:szCs w:val="31"/>
          <w:highlight w:val="none"/>
        </w:rPr>
      </w:pPr>
      <w:r>
        <w:rPr>
          <w:rFonts w:hint="default" w:ascii="Times New Roman" w:hAnsi="Times New Roman" w:eastAsia="仿宋_GB2312" w:cs="Times New Roman"/>
          <w:sz w:val="31"/>
          <w:szCs w:val="31"/>
          <w:highlight w:val="none"/>
        </w:rPr>
        <w:t>202</w:t>
      </w:r>
      <w:r>
        <w:rPr>
          <w:rFonts w:hint="default" w:ascii="Times New Roman" w:hAnsi="Times New Roman" w:eastAsia="仿宋_GB2312" w:cs="Times New Roman"/>
          <w:sz w:val="31"/>
          <w:szCs w:val="31"/>
          <w:highlight w:val="none"/>
          <w:lang w:val="en-US" w:eastAsia="zh-CN"/>
        </w:rPr>
        <w:t>5</w:t>
      </w:r>
      <w:r>
        <w:rPr>
          <w:rFonts w:hint="default" w:ascii="Times New Roman" w:hAnsi="Times New Roman" w:eastAsia="仿宋_GB2312" w:cs="Times New Roman"/>
          <w:sz w:val="31"/>
          <w:szCs w:val="31"/>
          <w:highlight w:val="none"/>
        </w:rPr>
        <w:t>年</w:t>
      </w:r>
      <w:r>
        <w:rPr>
          <w:rFonts w:hint="default" w:ascii="Times New Roman" w:hAnsi="Times New Roman" w:eastAsia="仿宋_GB2312" w:cs="Times New Roman"/>
          <w:sz w:val="31"/>
          <w:szCs w:val="31"/>
          <w:highlight w:val="none"/>
          <w:lang w:val="en-US" w:eastAsia="zh-CN"/>
        </w:rPr>
        <w:t>8</w:t>
      </w:r>
      <w:r>
        <w:rPr>
          <w:rFonts w:hint="default" w:ascii="Times New Roman" w:hAnsi="Times New Roman" w:eastAsia="仿宋_GB2312" w:cs="Times New Roman"/>
          <w:sz w:val="31"/>
          <w:szCs w:val="31"/>
          <w:highlight w:val="none"/>
        </w:rPr>
        <w:t>月</w:t>
      </w:r>
      <w:r>
        <w:rPr>
          <w:rFonts w:hint="default" w:ascii="Times New Roman" w:hAnsi="Times New Roman" w:eastAsia="仿宋_GB2312" w:cs="Times New Roman"/>
          <w:sz w:val="31"/>
          <w:szCs w:val="31"/>
          <w:highlight w:val="none"/>
          <w:lang w:val="en-US" w:eastAsia="zh-CN"/>
        </w:rPr>
        <w:t>5</w:t>
      </w:r>
      <w:r>
        <w:rPr>
          <w:rFonts w:hint="default" w:ascii="Times New Roman" w:hAnsi="Times New Roman" w:eastAsia="仿宋_GB2312" w:cs="Times New Roman"/>
          <w:sz w:val="31"/>
          <w:szCs w:val="31"/>
          <w:highlight w:val="none"/>
        </w:rPr>
        <w:t>日</w:t>
      </w:r>
    </w:p>
    <w:p>
      <w:pPr>
        <w:spacing w:before="0" w:line="240" w:lineRule="auto"/>
        <w:ind w:left="0" w:leftChars="0" w:firstLine="0" w:firstLineChars="0"/>
        <w:rPr>
          <w:rFonts w:hint="default"/>
          <w:highlight w:val="none"/>
        </w:rPr>
      </w:pPr>
      <w:bookmarkStart w:id="492" w:name="bookmark74"/>
      <w:bookmarkEnd w:id="492"/>
      <w:bookmarkStart w:id="493" w:name="bookmark73"/>
      <w:bookmarkEnd w:id="493"/>
      <w:bookmarkStart w:id="494" w:name="_Toc1281835356"/>
      <w:bookmarkStart w:id="495" w:name="_Toc186744037"/>
      <w:bookmarkStart w:id="496" w:name="_Toc2093094331"/>
      <w:bookmarkStart w:id="497" w:name="_Toc421109861"/>
      <w:bookmarkStart w:id="498" w:name="_Toc2002806337"/>
      <w:bookmarkStart w:id="499" w:name="_Toc582174349"/>
    </w:p>
    <w:p>
      <w:pPr>
        <w:ind w:left="0" w:leftChars="0" w:firstLine="0" w:firstLineChars="0"/>
        <w:rPr>
          <w:rFonts w:hint="default"/>
          <w:highlight w:val="none"/>
        </w:rPr>
        <w:sectPr>
          <w:footerReference r:id="rId9" w:type="default"/>
          <w:pgSz w:w="11906" w:h="16839"/>
          <w:pgMar w:top="1440" w:right="1800" w:bottom="1440" w:left="1800" w:header="0" w:footer="1060" w:gutter="0"/>
          <w:pgNumType w:fmt="decimal"/>
          <w:cols w:space="0" w:num="1"/>
          <w:rtlGutter w:val="0"/>
          <w:docGrid w:linePitch="0" w:charSpace="0"/>
        </w:sectPr>
      </w:pPr>
    </w:p>
    <w:p>
      <w:pPr>
        <w:ind w:left="0" w:leftChars="0" w:firstLine="0" w:firstLineChars="0"/>
        <w:rPr>
          <w:rFonts w:hint="default"/>
          <w:highlight w:val="none"/>
        </w:rPr>
      </w:pPr>
      <w:r>
        <w:rPr>
          <w:rFonts w:hint="default"/>
          <w:highlight w:val="none"/>
        </w:rPr>
        <w:t>附件1：综合评分表</w:t>
      </w:r>
      <w:bookmarkEnd w:id="494"/>
      <w:bookmarkEnd w:id="495"/>
      <w:bookmarkEnd w:id="496"/>
      <w:bookmarkEnd w:id="497"/>
      <w:bookmarkEnd w:id="498"/>
      <w:bookmarkEnd w:id="499"/>
    </w:p>
    <w:tbl>
      <w:tblPr>
        <w:tblStyle w:val="21"/>
        <w:tblpPr w:leftFromText="180" w:rightFromText="180" w:vertAnchor="text" w:horzAnchor="page" w:tblpX="1049" w:tblpY="311"/>
        <w:tblOverlap w:val="never"/>
        <w:tblW w:w="514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5"/>
        <w:gridCol w:w="820"/>
        <w:gridCol w:w="597"/>
        <w:gridCol w:w="1944"/>
        <w:gridCol w:w="710"/>
        <w:gridCol w:w="1395"/>
        <w:gridCol w:w="824"/>
        <w:gridCol w:w="2162"/>
        <w:gridCol w:w="1376"/>
        <w:gridCol w:w="2515"/>
        <w:gridCol w:w="597"/>
        <w:gridCol w:w="493"/>
        <w:gridCol w:w="17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1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序号</w:t>
            </w:r>
          </w:p>
        </w:tc>
        <w:tc>
          <w:tcPr>
            <w:tcW w:w="2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6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22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分值</w:t>
            </w:r>
          </w:p>
        </w:tc>
        <w:tc>
          <w:tcPr>
            <w:tcW w:w="44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指标解释</w:t>
            </w:r>
          </w:p>
        </w:tc>
        <w:tc>
          <w:tcPr>
            <w:tcW w:w="26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目标值</w:t>
            </w:r>
          </w:p>
        </w:tc>
        <w:tc>
          <w:tcPr>
            <w:tcW w:w="6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评分规则</w:t>
            </w:r>
          </w:p>
        </w:tc>
        <w:tc>
          <w:tcPr>
            <w:tcW w:w="43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数据来源</w:t>
            </w:r>
          </w:p>
        </w:tc>
        <w:tc>
          <w:tcPr>
            <w:tcW w:w="7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评分过程</w:t>
            </w: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扣分</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得分</w:t>
            </w:r>
          </w:p>
        </w:tc>
        <w:tc>
          <w:tcPr>
            <w:tcW w:w="5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1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2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6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43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7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5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0" w:hRule="atLeast"/>
        </w:trPr>
        <w:tc>
          <w:tcPr>
            <w:tcW w:w="18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2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项目决策（20分）</w:t>
            </w: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项目立项</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立项依据充分性</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项目立项是否符合法律法规、相关政策、发展规划以及部门职责，用以反映和考核项目立项依据情况。</w:t>
            </w:r>
          </w:p>
        </w:tc>
        <w:tc>
          <w:tcPr>
            <w:tcW w:w="261"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规范</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评价要点：①项目立项是否符合国家法律法规、国民经济发展规划和相关政策；</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②项目立项是否符合行业发展规划和政策要求；</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③项目立项是否与部门职责范围相符，属于部门履职所需；</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④项目是否属于公共财政支持范围，是否符合中央、地方事权支出责任划分原则；</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⑤项目是否与相关部门同类项目或部门内部相关项目重复。以上每条要素占权重分的1/5，</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相关政策文件</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对于“立项依据充分性”：①.政策依据充分：严格执行《义务教育法》就近入学原则，契合国家教育现代化战略及自治区、市级学校布局规划要求。</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②.职责定位精准：项目建设属区教育局法定职责范围，是履行“保障学位供给”核心职能的必要举措。</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资金事权匹配：资金项目由克拉玛依区教育局承担财政事权的支出责任，主要实行市统筹上级补助资金，财政局按照预算情况进行划拨。费用支出主要通过申请中央预算资金、地方债券资金、地方财政配套等渠道筹措，项目属于公共财政支持范围，符合事权支出责任划分原则；无禁止类支出。</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④.项目布局唯一：与幼儿园改造项目形成学段互补，未造成重复建设。</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　　综上所述，该指标满分4分，得分4分。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立项程序规范性</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项目申请、设立过程是否符合相关要求，用以反映和考核项目立项的规范情况。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合规</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通用标准①项目是否按照规定的程序申请设立；</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②审批文件、材料是否符合相关要求；</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③事前是否已经过必要的可行性研究、专家论证、风险评估、绩效评估、集体决策。</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以上每条要素占权重分的1/3，每有一条不符合，扣除对应权重分，扣完为止。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批复</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对于“立项程序规范性”：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①.项目按照规定的程序申请设立；</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②.项目立项审批文件由发改部门批复，符合相关要求；</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③.事前已经过必要的可行性研究、专家论证、风险评估、绩效评估、集体决策。</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综上所述，该指标满分4分，得分4分。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w:t>
            </w:r>
          </w:p>
        </w:tc>
        <w:tc>
          <w:tcPr>
            <w:tcW w:w="61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绩效目标合理性</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项目所设定的绩效目标是否依据充分，是否符合客观实际，用以反映和考核项目绩效目标与项目实施的相符情况。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合理</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评价要点：①项目是否设定绩效目标；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②项目绩效目标与实际工作内容是否具备适用性；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③项目预期产出效益和效果是否符合正常的业绩水平。</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以上每条要素占权重分的1/3，每有一条不符合，扣除对应权重分，扣完为止。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绩效目标表</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①. 项目已经设定绩效目标；</w:t>
            </w:r>
          </w:p>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②. 项目绩效目标与实际工作内容具备适用性；</w:t>
            </w:r>
          </w:p>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鉴于该项目完工日期为2026年，目前尚未完工，因此2024年设定该项目绩效目标时，社会效益指标中不宜纳入“义务教育服务能力、水平”，不具备对义务教育能力和水平进行测评的条件;部分指标无法衡量，例如“义务教育服务能力”，指标、水平满意度指标“服务对象满意度”指标值“≥85％”</w:t>
            </w:r>
          </w:p>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③. 预期产出效果符合正常的业绩水平</w:t>
            </w:r>
          </w:p>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综上所述，该指标满分 3分，扣 1 分，得分 2 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1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绩效指标明确性</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依据绩效目标设定的绩效指标是否清晰、细化、可衡量等，用以反映和考核项目绩效目标的明细化情况。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明确</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评价要点：①是否将项目绩效目标细化、分解为具体的绩效指标；②是否通过清晰、可衡量的指标值予以体现；③是否与项目年度任务数或计划数相对应。</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以上每条要素占权重分的1/3，每有一条不符合，扣除对应权重分，扣完为止。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绩效目标表</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对于“绩效指标明确性”：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根据提供的项目绩效目标表，</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①.项目已将项目绩效目标分解为具体的绩效指标，项目目标表设置三级指标9条，量化指标7条，量化率77.78%；</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综上所述，该指标满分3分，得分3分。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5</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资金投入</w:t>
            </w:r>
          </w:p>
        </w:tc>
        <w:tc>
          <w:tcPr>
            <w:tcW w:w="61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预算编制科学性</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项目预算编制是否经过科学论证、有明确标准，资金额度与年度目标是否相适应，用以反映和考核项目预算编制的科学性、合理性情况。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科学</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①预算编制是否经过科学论证；</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②预算内容与项目内容是否匹配；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③预算额度测算依据是否充分，是否按照标准编制；</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④预算确定的项目投资额或资金量是否与工作任务相匹配。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以上每条要素占权重分的1/4，每有一条不符合，扣除对应权重分，扣完为止。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可研、实施方案</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对于“预算编制科学性”：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①.项目预算编制符合科学性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②.预算内容与项目内容匹配；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③.预算额度测算依据充分，按照标准编制；</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④.预算确定的项目投资额与工作任务相匹配。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　　综上所述，该指标满分3分，得分3分。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6</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资金分配合理性</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合理</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合理</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①预算资金分配依据是否充分；②资金分配额度是否合理，与项目单位或地方实际是否相适应。以上每条要素占权重分的1/2，每有一条不符合，扣除对应权重分，扣完为止。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可研、实施方案</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对于“资金分配合理性”：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依据项目可研报告，项目预算资金分配依据充分，资金分配合理，与克拉玛依区本地实际相适应。</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综上所述，该指标满分3分，得分3分。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7</w:t>
            </w:r>
          </w:p>
        </w:tc>
        <w:tc>
          <w:tcPr>
            <w:tcW w:w="2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项目管理（20分）</w:t>
            </w: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资金管理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资金到位率</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实际到位资金与预算资金的比率，用以反映和考核资金落实情况对项目实施的总体保障程度。</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资金到位率=（实际到位资金/预算资金）×100%。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资金到位率达100%得满分，每降低1%扣5%的权重，扣完为止。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资金到位文件</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对于“资金到位率”：依据项目资料查证分析，项目2024年申请一般债券资金5,000万元，实际到位5,000万元，资金到位率为100%。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综上所述，该指标满分2分，得分2分。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54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8</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预算执行率</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项目预算资金是否按照计划执行，用以反映或考核项目预算执行情况。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预算执行率=（实际支出资金/实际到位资金）×100%。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预算执行率达100%得满分，执行率＜100%,得分=执行率*权重</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支付凭证、项目明细账</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对于“预算执行率”：东彩小学项目2024年实际到位资金5,000万元，截至2024年12月31日，支出5,000万元，预算执行率为100.00%。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综上所述，该指标满分2分，得分2分。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资金使用合规性</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项目资金使用是否符合相关的财务管理制度规定，用以反映和考核项目资金的规范运行情况。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合规</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①是否符合国家财经法规和财务管理制度以及有关专项资金管理办法的规定；</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②资金的拨付是否有完整的审批程序和手续；</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③是否符合项目预算批复或合同规定的用途；</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④是否存在截留、挤占、挪用、虚列支出等情况。以上每条要素占权重分的1/4，每有一条不符合，扣除对应权重分，扣完为止。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支付凭证、项目明细账</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对于“资金使用合规性”：经核查，项目资金支付符合财经法规和专项资金管理办法；资金的拨付有完整的审批程序和手续；资金支持方向符合项目预算批复的用途；不存在截留、挤占、挪用、虚列支出等情况</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综上所述，该指标满分3分，得分3分。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管理制度健全性</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项目实施单位的财务和业务管理制度是否健全，用以反映和考核财务和业务管理制度对项目顺利实施的保障情况。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健全</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①是否已制定或具有相应的财务和业务管理制度；</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②财务和业务管理制度是否合法、合规、完整。</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以上每条要素占权重分的1/2，每有一条不符合，扣除对应权重分，扣完为止。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制度汇编、现场踏勘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对于“管理制度健全性”：经核查，克拉玛依区教育局已制定部分相应的财务和业务管理制度财务和业务管理制度合法、合规、完整。</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综上所述，该指标满分3分，扣分</w:t>
            </w:r>
            <w:r>
              <w:rPr>
                <w:rFonts w:hint="eastAsia" w:cs="Times New Roman"/>
                <w:highlight w:val="none"/>
                <w:lang w:val="en-US" w:eastAsia="zh-CN"/>
              </w:rPr>
              <w:t>0</w:t>
            </w:r>
            <w:r>
              <w:rPr>
                <w:rFonts w:hint="default" w:ascii="Times New Roman" w:hAnsi="Times New Roman" w:cs="Times New Roman"/>
                <w:highlight w:val="none"/>
                <w:lang w:val="en-US" w:eastAsia="zh-CN"/>
              </w:rPr>
              <w:t>分，得分</w:t>
            </w:r>
            <w:r>
              <w:rPr>
                <w:rFonts w:hint="eastAsia" w:cs="Times New Roman"/>
                <w:highlight w:val="none"/>
                <w:lang w:val="en-US" w:eastAsia="zh-CN"/>
              </w:rPr>
              <w:t>3</w:t>
            </w:r>
            <w:r>
              <w:rPr>
                <w:rFonts w:hint="default" w:ascii="Times New Roman" w:hAnsi="Times New Roman" w:cs="Times New Roman"/>
                <w:highlight w:val="none"/>
                <w:lang w:val="en-US" w:eastAsia="zh-CN"/>
              </w:rPr>
              <w:t>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eastAsia"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eastAsia"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eastAsia" w:cs="Times New Roman"/>
                <w:highlight w:val="none"/>
                <w:lang w:val="en-US" w:eastAsia="zh-CN"/>
              </w:rPr>
              <w:t>100</w:t>
            </w:r>
            <w:r>
              <w:rPr>
                <w:rFonts w:hint="default" w:ascii="Times New Roman" w:hAnsi="Times New Roman" w:cs="Times New Roman"/>
                <w:highlight w:val="none"/>
                <w:lang w:val="en-US" w:eastAsia="zh-CN"/>
              </w:rPr>
              <w:t>.</w:t>
            </w:r>
            <w:r>
              <w:rPr>
                <w:rFonts w:hint="eastAsia" w:cs="Times New Roman"/>
                <w:highlight w:val="none"/>
                <w:lang w:val="en-US" w:eastAsia="zh-CN"/>
              </w:rPr>
              <w:t>00</w:t>
            </w:r>
            <w:r>
              <w:rPr>
                <w:rFonts w:hint="default" w:ascii="Times New Roman" w:hAnsi="Times New Roman" w:cs="Times New Roman"/>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11</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组织实施</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制度执行有效性</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项目实施是否符合相关管理规定，用以反映和考核相关管理制度的有效执行情况。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有效</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①是否遵守相关法律法规和相关管理规定；</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②项目调整及支出调整手续是否完备；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③项目合同书、验收报告等资料是否齐全并及时归档；</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④项目实施的人员条件、场地设备、信息支撑等是否落实到位。以上每条要素占权重分的1/4，每有一条不符合，扣除对应权重分，扣完为止。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制度汇编、现场踏勘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对于“制度执行有效性”：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①.项目的开展遵守《克拉玛依区政府投资项目管理暂行规定》、《克拉玛依市教育专项资金管理办法》等法律法规和管理规定；</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②.项目未发生调整情况；</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③.项目未完工，其余资料齐全并及时归档；</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④.项目实施的人员条件、场地设备、信息支撑等已落实到位。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综上所述，该指标满分3分，得分3分。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12</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项目质量可控性</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项目实施单位是否为达到项目质量要求而采取了必需的措施，用以反映和考核项目实施单位对项目质量的控制情</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况。</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可控</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①质控措施是否落实，责任主体是否明确（1分）；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②抽查区域内质控工作相关档案是否齐全、规范（2分）</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文件、现场踏勘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对于“项目质量可控性”：经核查，质控措施落实，责任主体明确，项目负责人为克拉玛依区教育局孔祥龙；项目区域内质控工作相关档案齐全规范。</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综上所述，该指标满分3分，得分3分。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13</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自评及整改</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是否开展项目自评；项目开始时间至项目完成时间内有关检查反馈的问题是否及时整改。</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规范</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①自评按时完成得（2分）；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②自评质量情况好得l分（0.5分）；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③项目开始时间至项目完成时间内未发现相关问题（0.5分）；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④发现问题未及时整改的，每条问题扣（1分），扣完为止。</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项目自评报告、自评</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表</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对于“自评及整改”：经核查，克拉玛依区教育局已按照预</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算绩效管理要求按时完成项目自评工作</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综上所述，该指标满分4分，得分4分。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14</w:t>
            </w:r>
          </w:p>
        </w:tc>
        <w:tc>
          <w:tcPr>
            <w:tcW w:w="2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项目产出（40分）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新建（改扩建）学校数量</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5</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项目实施的实际产出数与计划产出数的比率，用以反映和考核项目产出数量目标的实现程度。</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实际完成率=（实际产出数/计划产出数）×100%。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实际产出数：一定时期（本年度或项目期）内项目实际产出的产品或提供的服务数量。</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计划产出数：项目绩效目标确定的在一定时期（本年度或项目期）内计划产出的产品或提供的服务数量。</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评价组于2025年7月18日，去东彩小学项目现场参观，经现场踏勘了解，东彩小学项目于2024年6月4日开工，指标完成。 </w:t>
            </w:r>
          </w:p>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综上所述，该指标满分 5 分，得分 5分。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0"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15</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主城区普惠性中小学校覆盖率</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5</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主城区普惠性中小学占比，衡量优质教育资源的区域覆盖公平性。</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≥95％</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普惠性学校=公办学校+政府购买学位的民办学校</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覆盖率=(普惠性学校数量÷主城区中小学总数)x100%。　</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计算结果≥95％得满分，每低1个百分点扣1分；存在重大结构安全问题直接0分；</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2024年学校基本情况统计表</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对于“主城区普惠性中小学校覆盖率”：根据教育局提供的“2024年克拉玛依区学校基本情况统计表-小学”情况表，项目截至2024年12月31日，主城区普惠性中小学校覆盖率已达100％，指标完成率100%。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　5　分，得分5分。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5</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16</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质量指标</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新建或改造校舍质量达标率</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新建或改造校舍通过工程验收的比率，确保校舍安全合规投入教学使用</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达标率≥90%得满分；每低1个百分点扣1分；存在重大结构安全问题直接0分；</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对于 “新建或改造校舍质量达标率”：现场踏勘了解，已完工质量达到100％。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 10 分，得分 10 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17</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政府债券资金规范管理使用率</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政府债券资金按规定用途和程序使用的比率，保障资金安全与效益。</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政府债券资金按规定用途和程序使用得满分，截留、挪用或虚报直接0分；</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现场踏勘、支付凭证、项目明细账</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对于“政府债券资金规范管理使用率”：现场踏勘了解，并查阅项目相关支出附件，支出使用合理，指标完成率100%。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综上所述，该指标满分10分，得分10分。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18</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政府债券资金三个月内形成支出</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政府债券资金到位后三个月内实际支付比率，考核资金拨付时效性。</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≤90天</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政府债券资金到位后三个月内形成支出得满分，若未形成支出得0分，</w:t>
            </w:r>
          </w:p>
        </w:tc>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支付凭证、项目明细账</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政府债券资金三个月内形成支出”：查阅克拉玛依市财政局2024年5月27日下发的《关于转贷2024年自治区第三批地方政府债券的通知》（克财预〔2024〕6号）文件，一、地方政府债券转贷额度情况，还本付息期限从2024年5月24日起计算，另查阅克拉玛依市克拉玛依区教育局国库集中支付凭证，付款日期为2024年06月14日，已在三个月内形成支出，指标完成率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综上所述，该指标满分10分，得分10分。</w:t>
            </w:r>
          </w:p>
        </w:tc>
        <w:tc>
          <w:tcPr>
            <w:tcW w:w="1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10</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19</w:t>
            </w:r>
          </w:p>
        </w:tc>
        <w:tc>
          <w:tcPr>
            <w:tcW w:w="2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项目效益（20分）</w:t>
            </w:r>
          </w:p>
        </w:tc>
        <w:tc>
          <w:tcPr>
            <w:tcW w:w="1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社会效益指标</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义务教育服务能力、水平</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义务教育服务能力、水平</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=显著增强</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硬件验收达标后，按设计效果评分；项目未投产的，得分按50%折减；满分10分，未投产时最高得5分。</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对于“义务教育服务能力、水平”： 经现场踏勘确认，校园空间规划充分满足现代教育需求。教学楼采用南向采光设计，教室配备新风系统；公共区域设置开放式阅读角、科创长廊及生态景观带，构建沉浸式学习场景。为师生营造安全、包容、激发探索欲的成长环境，有效支撑学生综合素质发展，义务教育服务能力、水平显著增强，由于项目未投产，扣除 50%权重。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 10 分，扣 5 分，得分 5 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20</w:t>
            </w: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义务教育关注度、社会影响力</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义务教育关注度、社会影响力</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=稳步提升</w:t>
            </w:r>
          </w:p>
        </w:tc>
        <w:tc>
          <w:tcPr>
            <w:tcW w:w="6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综合开放日参与率、媒体传播量等举措成效，实现关注度稳步提升得满分；否则视效果递减扣分。</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现场踏勘</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对于“义务教育关注度、社会影响力”：家长开放日参与率较高；区域教育公众号推文阅读量较多，实现义务教育关注度与社会影响力稳步提升。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综上所述，该指标满分20分，得分20分。</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0</w:t>
            </w:r>
          </w:p>
        </w:tc>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8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260"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61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w:t>
            </w:r>
          </w:p>
        </w:tc>
        <w:tc>
          <w:tcPr>
            <w:tcW w:w="2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100</w:t>
            </w:r>
          </w:p>
        </w:tc>
        <w:tc>
          <w:tcPr>
            <w:tcW w:w="442"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w:t>
            </w:r>
          </w:p>
        </w:tc>
        <w:tc>
          <w:tcPr>
            <w:tcW w:w="68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w:t>
            </w:r>
          </w:p>
        </w:tc>
        <w:tc>
          <w:tcPr>
            <w:tcW w:w="43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w:t>
            </w:r>
          </w:p>
        </w:tc>
        <w:tc>
          <w:tcPr>
            <w:tcW w:w="79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eastAsia" w:cs="Times New Roman"/>
                <w:highlight w:val="none"/>
                <w:lang w:val="en-US" w:eastAsia="zh-CN"/>
              </w:rPr>
              <w:t>1</w:t>
            </w:r>
          </w:p>
        </w:tc>
        <w:tc>
          <w:tcPr>
            <w:tcW w:w="1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9</w:t>
            </w:r>
            <w:r>
              <w:rPr>
                <w:rFonts w:hint="eastAsia" w:cs="Times New Roman"/>
                <w:highlight w:val="none"/>
                <w:lang w:val="en-US" w:eastAsia="zh-CN"/>
              </w:rPr>
              <w:t>9</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en-US"/>
              </w:rPr>
            </w:pPr>
            <w:r>
              <w:rPr>
                <w:rFonts w:hint="default" w:ascii="Times New Roman" w:hAnsi="Times New Roman" w:cs="Times New Roman"/>
                <w:highlight w:val="none"/>
                <w:lang w:val="en-US" w:eastAsia="zh-CN"/>
              </w:rPr>
              <w:t>9</w:t>
            </w:r>
            <w:r>
              <w:rPr>
                <w:rFonts w:hint="eastAsia" w:cs="Times New Roman"/>
                <w:highlight w:val="none"/>
                <w:lang w:val="en-US" w:eastAsia="zh-CN"/>
              </w:rPr>
              <w:t>9</w:t>
            </w:r>
            <w:r>
              <w:rPr>
                <w:rFonts w:hint="default" w:ascii="Times New Roman" w:hAnsi="Times New Roman" w:cs="Times New Roman"/>
                <w:highlight w:val="none"/>
                <w:lang w:val="en-US" w:eastAsia="zh-CN"/>
              </w:rPr>
              <w:t>%</w:t>
            </w:r>
          </w:p>
        </w:tc>
      </w:tr>
    </w:tbl>
    <w:p>
      <w:pPr>
        <w:ind w:firstLine="0" w:firstLineChars="0"/>
        <w:rPr>
          <w:rFonts w:hint="default"/>
          <w:highlight w:val="none"/>
        </w:rPr>
      </w:pPr>
    </w:p>
    <w:p>
      <w:pPr>
        <w:pageBreakBefore w:val="0"/>
        <w:wordWrap/>
        <w:overflowPunct/>
        <w:topLinePunct w:val="0"/>
        <w:bidi w:val="0"/>
        <w:snapToGrid/>
        <w:spacing w:before="0" w:line="240" w:lineRule="auto"/>
        <w:ind w:firstLine="0" w:firstLineChars="0"/>
        <w:rPr>
          <w:rFonts w:hint="default" w:ascii="Times New Roman" w:hAnsi="Times New Roman" w:cs="Times New Roman"/>
          <w:highlight w:val="none"/>
        </w:rPr>
        <w:sectPr>
          <w:pgSz w:w="16839" w:h="11906" w:orient="landscape"/>
          <w:pgMar w:top="1491" w:right="403" w:bottom="1786" w:left="1338" w:header="0" w:footer="1060" w:gutter="0"/>
          <w:pgNumType w:fmt="decimal"/>
          <w:cols w:space="0" w:num="1"/>
          <w:rtlGutter w:val="0"/>
          <w:docGrid w:linePitch="0" w:charSpace="0"/>
        </w:sectPr>
      </w:pPr>
    </w:p>
    <w:p>
      <w:pPr>
        <w:pageBreakBefore w:val="0"/>
        <w:wordWrap/>
        <w:overflowPunct/>
        <w:topLinePunct w:val="0"/>
        <w:bidi w:val="0"/>
        <w:snapToGrid/>
        <w:spacing w:line="560" w:lineRule="exact"/>
        <w:ind w:left="0" w:leftChars="0" w:firstLine="0" w:firstLineChars="0"/>
        <w:rPr>
          <w:rFonts w:hint="default" w:ascii="Times New Roman" w:hAnsi="Times New Roman" w:cs="Times New Roman"/>
          <w:highlight w:val="none"/>
        </w:rPr>
      </w:pPr>
      <w:bookmarkStart w:id="500" w:name="bookmark76"/>
      <w:bookmarkEnd w:id="500"/>
      <w:bookmarkStart w:id="501" w:name="bookmark75"/>
      <w:bookmarkEnd w:id="501"/>
      <w:bookmarkStart w:id="502" w:name="_Toc250881588"/>
      <w:bookmarkStart w:id="503" w:name="_Toc706799610"/>
      <w:bookmarkStart w:id="504" w:name="_Toc1634816962"/>
    </w:p>
    <w:p>
      <w:pPr>
        <w:pStyle w:val="4"/>
        <w:bidi w:val="0"/>
        <w:rPr>
          <w:rFonts w:hint="default"/>
          <w:highlight w:val="none"/>
        </w:rPr>
      </w:pPr>
      <w:bookmarkStart w:id="505" w:name="_Toc668787911"/>
      <w:bookmarkStart w:id="506" w:name="_Toc1133421592"/>
      <w:bookmarkStart w:id="507" w:name="_Toc1507422881"/>
      <w:r>
        <w:rPr>
          <w:rFonts w:hint="default"/>
          <w:highlight w:val="none"/>
        </w:rPr>
        <w:t>附件2：绩效评价报告征求部门意见反馈表</w:t>
      </w:r>
      <w:bookmarkEnd w:id="502"/>
      <w:bookmarkEnd w:id="503"/>
      <w:bookmarkEnd w:id="504"/>
      <w:bookmarkEnd w:id="505"/>
      <w:bookmarkEnd w:id="506"/>
      <w:bookmarkEnd w:id="507"/>
    </w:p>
    <w:p>
      <w:pPr>
        <w:pageBreakBefore w:val="0"/>
        <w:wordWrap/>
        <w:overflowPunct/>
        <w:topLinePunct w:val="0"/>
        <w:bidi w:val="0"/>
        <w:snapToGrid/>
        <w:spacing w:line="240" w:lineRule="auto"/>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eastAsia="zh-CN"/>
        </w:rPr>
        <w:drawing>
          <wp:inline distT="0" distB="0" distL="114300" distR="114300">
            <wp:extent cx="5477510" cy="7749540"/>
            <wp:effectExtent l="0" t="0" r="8890" b="10160"/>
            <wp:docPr id="14" name="图片 14" descr="东彩小学绩效评价反馈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东彩小学绩效评价反馈_00"/>
                    <pic:cNvPicPr>
                      <a:picLocks noChangeAspect="1"/>
                    </pic:cNvPicPr>
                  </pic:nvPicPr>
                  <pic:blipFill>
                    <a:blip r:embed="rId17"/>
                    <a:stretch>
                      <a:fillRect/>
                    </a:stretch>
                  </pic:blipFill>
                  <pic:spPr>
                    <a:xfrm>
                      <a:off x="0" y="0"/>
                      <a:ext cx="5477510" cy="7749540"/>
                    </a:xfrm>
                    <a:prstGeom prst="rect">
                      <a:avLst/>
                    </a:prstGeom>
                  </pic:spPr>
                </pic:pic>
              </a:graphicData>
            </a:graphic>
          </wp:inline>
        </w:drawing>
      </w:r>
    </w:p>
    <w:p>
      <w:pPr>
        <w:pageBreakBefore w:val="0"/>
        <w:wordWrap/>
        <w:overflowPunct/>
        <w:topLinePunct w:val="0"/>
        <w:bidi w:val="0"/>
        <w:snapToGrid/>
        <w:spacing w:line="560" w:lineRule="exact"/>
        <w:rPr>
          <w:rFonts w:hint="default" w:ascii="Times New Roman" w:hAnsi="Times New Roman" w:cs="Times New Roman"/>
          <w:highlight w:val="none"/>
        </w:rPr>
      </w:pPr>
    </w:p>
    <w:p>
      <w:pPr>
        <w:pageBreakBefore w:val="0"/>
        <w:wordWrap/>
        <w:overflowPunct/>
        <w:topLinePunct w:val="0"/>
        <w:bidi w:val="0"/>
        <w:snapToGrid/>
        <w:spacing w:line="560" w:lineRule="exact"/>
        <w:ind w:firstLine="0" w:firstLineChars="0"/>
        <w:rPr>
          <w:rFonts w:hint="default" w:ascii="Times New Roman" w:hAnsi="Times New Roman" w:cs="Times New Roman"/>
          <w:highlight w:val="none"/>
        </w:rPr>
      </w:pPr>
      <w:bookmarkStart w:id="508" w:name="_Toc1056450455"/>
      <w:bookmarkStart w:id="509" w:name="_Toc1462900616"/>
      <w:bookmarkStart w:id="510" w:name="_Toc1448993713"/>
    </w:p>
    <w:p>
      <w:pPr>
        <w:pStyle w:val="4"/>
        <w:bidi w:val="0"/>
        <w:rPr>
          <w:rFonts w:hint="default"/>
          <w:highlight w:val="none"/>
        </w:rPr>
      </w:pPr>
      <w:bookmarkStart w:id="511" w:name="_Toc1391777308"/>
      <w:bookmarkStart w:id="512" w:name="_Toc1236747854"/>
      <w:bookmarkStart w:id="513" w:name="_Toc389011779"/>
      <w:r>
        <w:rPr>
          <w:rFonts w:hint="default"/>
          <w:highlight w:val="none"/>
        </w:rPr>
        <w:t>附件3：访谈报告</w:t>
      </w:r>
      <w:bookmarkEnd w:id="508"/>
      <w:bookmarkEnd w:id="509"/>
      <w:bookmarkEnd w:id="510"/>
      <w:bookmarkEnd w:id="511"/>
      <w:bookmarkEnd w:id="512"/>
      <w:bookmarkEnd w:id="513"/>
    </w:p>
    <w:p>
      <w:pPr>
        <w:pageBreakBefore w:val="0"/>
        <w:wordWrap/>
        <w:overflowPunct/>
        <w:topLinePunct w:val="0"/>
        <w:bidi w:val="0"/>
        <w:snapToGrid/>
        <w:spacing w:line="560" w:lineRule="exact"/>
        <w:rPr>
          <w:rFonts w:hint="default" w:ascii="Times New Roman" w:hAnsi="Times New Roman" w:cs="Times New Roman"/>
          <w:highlight w:val="none"/>
        </w:rPr>
      </w:pPr>
      <w:bookmarkStart w:id="514" w:name="bookmark78"/>
      <w:bookmarkEnd w:id="514"/>
      <w:r>
        <w:rPr>
          <w:rFonts w:hint="default" w:ascii="Times New Roman" w:hAnsi="Times New Roman" w:cs="Times New Roman"/>
          <w:highlight w:val="none"/>
        </w:rPr>
        <w:t>访谈记录</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项目名称：</w:t>
      </w:r>
      <w:r>
        <w:rPr>
          <w:rFonts w:hint="default" w:ascii="Times New Roman" w:hAnsi="Times New Roman" w:cs="Times New Roman"/>
          <w:highlight w:val="none"/>
          <w:lang w:val="en-US" w:eastAsia="zh-CN"/>
        </w:rPr>
        <w:t>克拉玛依市克拉玛依区东彩小学新建</w:t>
      </w:r>
      <w:r>
        <w:rPr>
          <w:rFonts w:hint="default" w:ascii="Times New Roman" w:hAnsi="Times New Roman" w:cs="Times New Roman"/>
          <w:highlight w:val="none"/>
        </w:rPr>
        <w:t>项目</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1.项目总投资多少万元？2024年计划投资多少万元？2024年实际支出多少万元？（以上每项资金需要有相关资料）</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克拉玛依市克拉玛依区东彩小学新建项目总投资总投资12100.99万元，2024年实际下达一般债资金5000万元。2024年计划投资5000万元，实际支出5000万元。</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2.项目组织情况，项目实施过程涉及的单位包括哪些。各单位职责分别是什么？</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eastAsia" w:ascii="Times New Roman" w:hAnsi="Times New Roman" w:cs="Times New Roman"/>
          <w:highlight w:val="none"/>
          <w:lang w:eastAsia="zh-CN"/>
        </w:rPr>
        <w:t>项目主管部门</w:t>
      </w:r>
      <w:r>
        <w:rPr>
          <w:rFonts w:hint="default" w:ascii="Times New Roman" w:hAnsi="Times New Roman" w:cs="Times New Roman"/>
          <w:highlight w:val="none"/>
        </w:rPr>
        <w:t>克拉玛依区教育局负责项目全面管理、过程监督，重大问题的解决及决策；设计单位新疆原创城市设计研究（院）有限公司负责项目工程勘察、测量、方案设计、初步设计、施工图设计。监理单位新疆天麒工程项目管理咨询有限责任公司负责项目从施工开始到工程质量保修阶段结束为止的监理服务，在此期间对本工程提供建设过程中的质量、进度、费用控制配合工作、安全生产监督管理、合同、信息、设备采购等方面的协调管理等相关监理服务</w:t>
      </w:r>
      <w:r>
        <w:rPr>
          <w:rFonts w:hint="eastAsia" w:ascii="Times New Roman" w:hAnsi="Times New Roman" w:cs="Times New Roman"/>
          <w:highlight w:val="none"/>
          <w:lang w:eastAsia="zh-CN"/>
        </w:rPr>
        <w:t>。</w:t>
      </w:r>
      <w:r>
        <w:rPr>
          <w:rFonts w:hint="default" w:ascii="Times New Roman" w:hAnsi="Times New Roman" w:cs="Times New Roman"/>
          <w:highlight w:val="none"/>
        </w:rPr>
        <w:t>施工单位永升建设集团有限公司负责项目全套施工设计图纸、设计变更、设计确认书、招标答疑、招标工程量清单等范围内的全部施工内容。</w:t>
      </w:r>
    </w:p>
    <w:p>
      <w:pPr>
        <w:pageBreakBefore w:val="0"/>
        <w:wordWrap/>
        <w:overflowPunct/>
        <w:topLinePunct w:val="0"/>
        <w:bidi w:val="0"/>
        <w:snapToGrid/>
        <w:spacing w:line="560" w:lineRule="exact"/>
        <w:rPr>
          <w:rFonts w:hint="default" w:ascii="Times New Roman" w:hAnsi="Times New Roman" w:cs="Times New Roman"/>
          <w:highlight w:val="none"/>
        </w:rPr>
      </w:pPr>
      <w:bookmarkStart w:id="515" w:name="_Toc430378609"/>
      <w:bookmarkStart w:id="516" w:name="_Toc772777411"/>
      <w:r>
        <w:rPr>
          <w:rFonts w:hint="default" w:ascii="Times New Roman" w:hAnsi="Times New Roman" w:cs="Times New Roman"/>
          <w:highlight w:val="none"/>
        </w:rPr>
        <w:t>3.项目实施进展情况，项目从立项开始到目前完成了那些工</w:t>
      </w:r>
      <w:bookmarkEnd w:id="515"/>
      <w:bookmarkEnd w:id="516"/>
      <w:r>
        <w:rPr>
          <w:rFonts w:hint="default" w:ascii="Times New Roman" w:hAnsi="Times New Roman" w:cs="Times New Roman"/>
          <w:highlight w:val="none"/>
        </w:rPr>
        <w:t>作？</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该项目于克拉玛依市克拉玛依区东彩小学新建工程项目建议书的批复2023年10月8日，2024年5月27日办理完成建设用地规划许可证及红线图，2024年5月29日办理完成建设用地工程规划许可证及总平面图，2024年4月1日完成施工图设计文件审查工作并取得审图合格书，并于2023年5月31日办理取得建筑工程施工许可证，项目还在建设中。</w:t>
      </w:r>
    </w:p>
    <w:p>
      <w:pPr>
        <w:pageBreakBefore w:val="0"/>
        <w:wordWrap/>
        <w:overflowPunct/>
        <w:topLinePunct w:val="0"/>
        <w:bidi w:val="0"/>
        <w:snapToGrid/>
        <w:spacing w:line="560" w:lineRule="exact"/>
        <w:rPr>
          <w:rFonts w:hint="eastAsia" w:ascii="Times New Roman" w:hAnsi="Times New Roman" w:eastAsia="仿宋_GB2312" w:cs="Times New Roman"/>
          <w:highlight w:val="none"/>
          <w:lang w:eastAsia="zh-CN"/>
        </w:rPr>
      </w:pPr>
      <w:r>
        <w:rPr>
          <w:rFonts w:hint="default" w:ascii="Times New Roman" w:hAnsi="Times New Roman" w:cs="Times New Roman"/>
          <w:highlight w:val="none"/>
        </w:rPr>
        <w:t>4.请您简要介绍为保障项目顺利开展、（成本管理）资金的合理支出，贵单位制定了哪些管理办法？实际采取过哪些监管与管理措施</w:t>
      </w:r>
      <w:r>
        <w:rPr>
          <w:rFonts w:hint="eastAsia" w:ascii="Times New Roman" w:hAnsi="Times New Roman" w:cs="Times New Roman"/>
          <w:highlight w:val="none"/>
          <w:lang w:eastAsia="zh-CN"/>
        </w:rPr>
        <w:t>？</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一是成立了项目建设领导小组，明确了工作的分工与职责，制定了资金支付审批单并明确了审批流程。二是定期召开工程现场例会，与监理、施工方跟进工程进度加强监督监管。</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5.是否有外部监督检查（新疆监管局、上级审计、纪检、当地质监站）相关情况？</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请质安监站进行了外配基础认证、主体保温认证及检测监督站材料抽查。</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eastAsia" w:ascii="Times New Roman" w:hAnsi="Times New Roman" w:cs="Times New Roman"/>
          <w:highlight w:val="none"/>
          <w:lang w:val="en-US" w:eastAsia="zh-CN"/>
        </w:rPr>
        <w:t xml:space="preserve">6. </w:t>
      </w:r>
      <w:r>
        <w:rPr>
          <w:rFonts w:hint="default" w:ascii="Times New Roman" w:hAnsi="Times New Roman" w:cs="Times New Roman"/>
          <w:highlight w:val="none"/>
        </w:rPr>
        <w:t>您认为本项目资金的使用达到了什么效益？（经济/社会）？取得了哪些成绩？</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一般债不产生效益</w:t>
      </w:r>
    </w:p>
    <w:p>
      <w:pPr>
        <w:pageBreakBefore w:val="0"/>
        <w:wordWrap/>
        <w:overflowPunct/>
        <w:topLinePunct w:val="0"/>
        <w:bidi w:val="0"/>
        <w:snapToGrid/>
        <w:spacing w:line="560" w:lineRule="exact"/>
        <w:rPr>
          <w:rFonts w:hint="default" w:ascii="Times New Roman" w:hAnsi="Times New Roman" w:cs="Times New Roman"/>
          <w:highlight w:val="none"/>
        </w:rPr>
      </w:pPr>
      <w:bookmarkStart w:id="517" w:name="_Toc648358367"/>
      <w:bookmarkStart w:id="518" w:name="_Toc88849621"/>
      <w:r>
        <w:rPr>
          <w:rFonts w:hint="default" w:ascii="Times New Roman" w:hAnsi="Times New Roman" w:cs="Times New Roman"/>
          <w:highlight w:val="none"/>
        </w:rPr>
        <w:t>7.项目实施过程中存在的问题及遇到的困难？</w:t>
      </w:r>
      <w:bookmarkEnd w:id="517"/>
      <w:bookmarkEnd w:id="518"/>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暂无</w:t>
      </w:r>
    </w:p>
    <w:p>
      <w:pPr>
        <w:rPr>
          <w:rFonts w:hint="default"/>
          <w:highlight w:val="none"/>
        </w:rPr>
      </w:pPr>
      <w:r>
        <w:rPr>
          <w:rFonts w:hint="default"/>
          <w:highlight w:val="none"/>
        </w:rPr>
        <w:t>8.请您谈谈项目开展过程中积累了哪些经验做法，以及下一步的工作规划：</w:t>
      </w:r>
    </w:p>
    <w:p>
      <w:pPr>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下一步各部门将继续各司其职，持续做好施工工作，确保安全及质量的前提下做好进度管理，确保工程如期完工。</w:t>
      </w:r>
    </w:p>
    <w:p>
      <w:pPr>
        <w:pageBreakBefore w:val="0"/>
        <w:wordWrap/>
        <w:overflowPunct/>
        <w:topLinePunct w:val="0"/>
        <w:bidi w:val="0"/>
        <w:snapToGrid/>
        <w:spacing w:line="560" w:lineRule="exact"/>
        <w:rPr>
          <w:rFonts w:hint="default" w:ascii="Times New Roman" w:hAnsi="Times New Roman" w:cs="Times New Roman"/>
          <w:highlight w:val="none"/>
        </w:rPr>
      </w:pPr>
      <w:bookmarkStart w:id="519" w:name="_Toc627049291"/>
      <w:bookmarkStart w:id="520" w:name="_Toc794445482"/>
      <w:r>
        <w:rPr>
          <w:rFonts w:hint="default" w:ascii="Times New Roman" w:hAnsi="Times New Roman" w:cs="Times New Roman"/>
          <w:highlight w:val="none"/>
        </w:rPr>
        <w:t>9.是否存在设计变更？</w:t>
      </w:r>
      <w:bookmarkEnd w:id="519"/>
      <w:bookmarkEnd w:id="520"/>
    </w:p>
    <w:p>
      <w:pPr>
        <w:pageBreakBefore w:val="0"/>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cs="Times New Roman"/>
          <w:highlight w:val="none"/>
        </w:rPr>
        <w:t>暂无</w:t>
      </w:r>
      <w:bookmarkStart w:id="521" w:name="_Toc1339382575"/>
      <w:bookmarkStart w:id="522" w:name="_Toc368003789"/>
      <w:bookmarkStart w:id="523" w:name="_Toc1115178008"/>
    </w:p>
    <w:p>
      <w:pPr>
        <w:pStyle w:val="4"/>
        <w:bidi w:val="0"/>
        <w:rPr>
          <w:rFonts w:hint="default"/>
          <w:highlight w:val="none"/>
        </w:rPr>
      </w:pPr>
      <w:bookmarkStart w:id="524" w:name="_Toc1180748185"/>
      <w:bookmarkStart w:id="525" w:name="_Toc526962865"/>
      <w:bookmarkStart w:id="526" w:name="_Toc1209332432"/>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p>
    <w:p>
      <w:pPr>
        <w:pStyle w:val="4"/>
        <w:bidi w:val="0"/>
        <w:rPr>
          <w:rFonts w:hint="default"/>
          <w:highlight w:val="none"/>
        </w:rPr>
      </w:pPr>
      <w:r>
        <w:rPr>
          <w:rFonts w:hint="default"/>
          <w:highlight w:val="none"/>
        </w:rPr>
        <w:t>附件4：满意度调查问卷结果分析报告</w:t>
      </w:r>
      <w:bookmarkEnd w:id="521"/>
      <w:bookmarkEnd w:id="522"/>
      <w:bookmarkEnd w:id="523"/>
      <w:bookmarkEnd w:id="524"/>
      <w:bookmarkEnd w:id="525"/>
      <w:bookmarkEnd w:id="526"/>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项目未完工，无明确受益对象，未开展满意度调查。</w:t>
      </w:r>
    </w:p>
    <w:p>
      <w:pPr>
        <w:keepNext w:val="0"/>
        <w:keepLines w:val="0"/>
        <w:pageBreakBefore w:val="0"/>
        <w:widowControl/>
        <w:kinsoku w:val="0"/>
        <w:wordWrap/>
        <w:overflowPunct/>
        <w:topLinePunct w:val="0"/>
        <w:autoSpaceDE w:val="0"/>
        <w:autoSpaceDN w:val="0"/>
        <w:bidi w:val="0"/>
        <w:adjustRightInd w:val="0"/>
        <w:snapToGrid/>
        <w:spacing w:line="560" w:lineRule="exact"/>
        <w:ind w:firstLine="620" w:firstLineChars="200"/>
        <w:textAlignment w:val="baseline"/>
        <w:rPr>
          <w:rFonts w:hint="default" w:ascii="Times New Roman" w:hAnsi="Times New Roman" w:eastAsia="仿宋_GB2312" w:cs="Times New Roman"/>
          <w:sz w:val="31"/>
          <w:szCs w:val="31"/>
          <w:highlight w:val="none"/>
        </w:rPr>
        <w:sectPr>
          <w:pgSz w:w="11906" w:h="16839"/>
          <w:pgMar w:top="1440" w:right="1800" w:bottom="1440" w:left="1800" w:header="0" w:footer="1060" w:gutter="0"/>
          <w:pgNumType w:fmt="decimal"/>
          <w:cols w:space="0" w:num="1"/>
          <w:rtlGutter w:val="0"/>
          <w:docGrid w:linePitch="0" w:charSpace="0"/>
        </w:sectPr>
      </w:pPr>
    </w:p>
    <w:p>
      <w:pPr>
        <w:pStyle w:val="4"/>
        <w:bidi w:val="0"/>
        <w:rPr>
          <w:rFonts w:hint="default"/>
          <w:highlight w:val="none"/>
        </w:rPr>
      </w:pPr>
      <w:bookmarkStart w:id="527" w:name="bookmark82"/>
      <w:bookmarkEnd w:id="527"/>
      <w:bookmarkStart w:id="528" w:name="bookmark81"/>
      <w:bookmarkEnd w:id="528"/>
      <w:bookmarkStart w:id="529" w:name="_Toc2085847015"/>
      <w:bookmarkStart w:id="530" w:name="_Toc1464949416"/>
      <w:bookmarkStart w:id="531" w:name="_Toc1706993087"/>
      <w:bookmarkStart w:id="532" w:name="_Toc442311827"/>
      <w:bookmarkStart w:id="533" w:name="_Toc286778363"/>
      <w:bookmarkStart w:id="534" w:name="_Toc1079350171"/>
      <w:r>
        <w:rPr>
          <w:rFonts w:hint="default"/>
          <w:highlight w:val="none"/>
        </w:rPr>
        <w:t>附件5：现场调研照片</w:t>
      </w:r>
      <w:bookmarkEnd w:id="529"/>
      <w:bookmarkEnd w:id="530"/>
      <w:bookmarkEnd w:id="531"/>
      <w:bookmarkEnd w:id="532"/>
      <w:bookmarkEnd w:id="533"/>
      <w:bookmarkEnd w:id="534"/>
    </w:p>
    <w:p>
      <w:pPr>
        <w:pStyle w:val="13"/>
        <w:keepNext w:val="0"/>
        <w:keepLines w:val="0"/>
        <w:pageBreakBefore w:val="0"/>
        <w:widowControl/>
        <w:kinsoku w:val="0"/>
        <w:wordWrap/>
        <w:overflowPunct/>
        <w:topLinePunct w:val="0"/>
        <w:autoSpaceDE w:val="0"/>
        <w:autoSpaceDN w:val="0"/>
        <w:bidi w:val="0"/>
        <w:adjustRightInd w:val="0"/>
        <w:snapToGrid/>
        <w:spacing w:before="100" w:line="560" w:lineRule="exact"/>
        <w:ind w:left="382"/>
        <w:outlineLvl w:val="9"/>
        <w:rPr>
          <w:rFonts w:hint="default" w:ascii="Times New Roman" w:hAnsi="Times New Roman" w:eastAsia="仿宋_GB2312" w:cs="Times New Roman"/>
          <w:spacing w:val="14"/>
          <w:sz w:val="31"/>
          <w:szCs w:val="31"/>
          <w:highlight w:val="none"/>
        </w:rPr>
      </w:pPr>
      <w:r>
        <w:rPr>
          <w:rFonts w:hint="default" w:ascii="Times New Roman" w:hAnsi="Times New Roman" w:eastAsia="仿宋_GB2312" w:cs="Times New Roman"/>
          <w:sz w:val="21"/>
          <w:highlight w:val="none"/>
          <w:lang w:eastAsia="zh-CN"/>
        </w:rPr>
        <w:drawing>
          <wp:anchor distT="0" distB="0" distL="114300" distR="114300" simplePos="0" relativeHeight="251663360" behindDoc="0" locked="0" layoutInCell="1" allowOverlap="1">
            <wp:simplePos x="0" y="0"/>
            <wp:positionH relativeFrom="column">
              <wp:posOffset>142875</wp:posOffset>
            </wp:positionH>
            <wp:positionV relativeFrom="paragraph">
              <wp:posOffset>153035</wp:posOffset>
            </wp:positionV>
            <wp:extent cx="5264785" cy="3948430"/>
            <wp:effectExtent l="0" t="0" r="18415" b="13970"/>
            <wp:wrapNone/>
            <wp:docPr id="5" name="图片 5" descr="行政综合楼，2号教学楼外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行政综合楼，2号教学楼外观"/>
                    <pic:cNvPicPr>
                      <a:picLocks noChangeAspect="1"/>
                    </pic:cNvPicPr>
                  </pic:nvPicPr>
                  <pic:blipFill>
                    <a:blip r:embed="rId18"/>
                    <a:stretch>
                      <a:fillRect/>
                    </a:stretch>
                  </pic:blipFill>
                  <pic:spPr>
                    <a:xfrm>
                      <a:off x="0" y="0"/>
                      <a:ext cx="5264785" cy="3948430"/>
                    </a:xfrm>
                    <a:prstGeom prst="rect">
                      <a:avLst/>
                    </a:prstGeom>
                  </pic:spPr>
                </pic:pic>
              </a:graphicData>
            </a:graphic>
          </wp:anchor>
        </w:drawing>
      </w:r>
    </w:p>
    <w:p>
      <w:pPr>
        <w:pStyle w:val="13"/>
        <w:keepNext w:val="0"/>
        <w:keepLines w:val="0"/>
        <w:pageBreakBefore w:val="0"/>
        <w:widowControl/>
        <w:kinsoku w:val="0"/>
        <w:wordWrap/>
        <w:overflowPunct/>
        <w:topLinePunct w:val="0"/>
        <w:autoSpaceDE w:val="0"/>
        <w:autoSpaceDN w:val="0"/>
        <w:bidi w:val="0"/>
        <w:adjustRightInd w:val="0"/>
        <w:snapToGrid/>
        <w:spacing w:before="100" w:line="560" w:lineRule="exact"/>
        <w:ind w:left="382"/>
        <w:outlineLvl w:val="9"/>
        <w:rPr>
          <w:rFonts w:hint="default" w:ascii="Times New Roman" w:hAnsi="Times New Roman" w:eastAsia="仿宋_GB2312" w:cs="Times New Roman"/>
          <w:spacing w:val="14"/>
          <w:sz w:val="31"/>
          <w:szCs w:val="31"/>
          <w:highlight w:val="none"/>
          <w:lang w:eastAsia="zh-CN"/>
        </w:rPr>
      </w:pPr>
      <w:r>
        <w:rPr>
          <w:rFonts w:hint="default" w:ascii="Times New Roman" w:hAnsi="Times New Roman" w:eastAsia="仿宋_GB2312" w:cs="Times New Roman"/>
          <w:sz w:val="21"/>
          <w:highlight w:val="none"/>
          <w:lang w:eastAsia="zh-CN"/>
        </w:rPr>
        <w:drawing>
          <wp:anchor distT="0" distB="0" distL="114300" distR="114300" simplePos="0" relativeHeight="251660288" behindDoc="0" locked="0" layoutInCell="1" allowOverlap="1">
            <wp:simplePos x="0" y="0"/>
            <wp:positionH relativeFrom="column">
              <wp:posOffset>171450</wp:posOffset>
            </wp:positionH>
            <wp:positionV relativeFrom="paragraph">
              <wp:posOffset>3899535</wp:posOffset>
            </wp:positionV>
            <wp:extent cx="5253990" cy="3940175"/>
            <wp:effectExtent l="0" t="0" r="3810" b="22225"/>
            <wp:wrapNone/>
            <wp:docPr id="2" name="图片 2" descr="操场，田径场，排球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操场，田径场，排球场"/>
                    <pic:cNvPicPr>
                      <a:picLocks noChangeAspect="1"/>
                    </pic:cNvPicPr>
                  </pic:nvPicPr>
                  <pic:blipFill>
                    <a:blip r:embed="rId19"/>
                    <a:stretch>
                      <a:fillRect/>
                    </a:stretch>
                  </pic:blipFill>
                  <pic:spPr>
                    <a:xfrm>
                      <a:off x="0" y="0"/>
                      <a:ext cx="5253990" cy="3940175"/>
                    </a:xfrm>
                    <a:prstGeom prst="rect">
                      <a:avLst/>
                    </a:prstGeom>
                  </pic:spPr>
                </pic:pic>
              </a:graphicData>
            </a:graphic>
          </wp:anchor>
        </w:drawing>
      </w:r>
    </w:p>
    <w:p>
      <w:pPr>
        <w:pStyle w:val="13"/>
        <w:keepNext w:val="0"/>
        <w:keepLines w:val="0"/>
        <w:pageBreakBefore w:val="0"/>
        <w:widowControl/>
        <w:kinsoku w:val="0"/>
        <w:wordWrap/>
        <w:overflowPunct/>
        <w:topLinePunct w:val="0"/>
        <w:autoSpaceDE w:val="0"/>
        <w:autoSpaceDN w:val="0"/>
        <w:bidi w:val="0"/>
        <w:adjustRightInd w:val="0"/>
        <w:snapToGrid/>
        <w:spacing w:before="100" w:line="560" w:lineRule="exact"/>
        <w:ind w:left="382"/>
        <w:outlineLvl w:val="9"/>
        <w:rPr>
          <w:rFonts w:hint="default" w:ascii="Times New Roman" w:hAnsi="Times New Roman" w:eastAsia="仿宋_GB2312" w:cs="Times New Roman"/>
          <w:spacing w:val="14"/>
          <w:sz w:val="31"/>
          <w:szCs w:val="31"/>
          <w:highlight w:val="none"/>
          <w:lang w:eastAsia="zh-CN"/>
        </w:rPr>
        <w:sectPr>
          <w:footerReference r:id="rId10" w:type="default"/>
          <w:pgSz w:w="11906" w:h="16839"/>
          <w:pgMar w:top="400" w:right="1785" w:bottom="1334" w:left="1785" w:header="0" w:footer="1060"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lang w:eastAsia="zh-CN"/>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r>
        <w:rPr>
          <w:rFonts w:hint="default" w:ascii="Times New Roman" w:hAnsi="Times New Roman" w:eastAsia="仿宋_GB2312" w:cs="Times New Roman"/>
          <w:sz w:val="21"/>
          <w:highlight w:val="none"/>
          <w:lang w:eastAsia="zh-CN"/>
        </w:rPr>
        <w:drawing>
          <wp:anchor distT="0" distB="0" distL="114300" distR="114300" simplePos="0" relativeHeight="251661312" behindDoc="0" locked="0" layoutInCell="1" allowOverlap="1">
            <wp:simplePos x="0" y="0"/>
            <wp:positionH relativeFrom="column">
              <wp:posOffset>28575</wp:posOffset>
            </wp:positionH>
            <wp:positionV relativeFrom="paragraph">
              <wp:posOffset>20955</wp:posOffset>
            </wp:positionV>
            <wp:extent cx="5253990" cy="3940175"/>
            <wp:effectExtent l="0" t="0" r="3810" b="22225"/>
            <wp:wrapNone/>
            <wp:docPr id="3" name="图片 3" descr="篮球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篮球场侧面"/>
                    <pic:cNvPicPr>
                      <a:picLocks noChangeAspect="1"/>
                    </pic:cNvPicPr>
                  </pic:nvPicPr>
                  <pic:blipFill>
                    <a:blip r:embed="rId20"/>
                    <a:stretch>
                      <a:fillRect/>
                    </a:stretch>
                  </pic:blipFill>
                  <pic:spPr>
                    <a:xfrm>
                      <a:off x="0" y="0"/>
                      <a:ext cx="5253990" cy="3940175"/>
                    </a:xfrm>
                    <a:prstGeom prst="rect">
                      <a:avLst/>
                    </a:prstGeom>
                  </pic:spPr>
                </pic:pic>
              </a:graphicData>
            </a:graphic>
          </wp:anchor>
        </w:drawing>
      </w: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lang w:eastAsia="zh-CN"/>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sectPr>
          <w:headerReference r:id="rId11" w:type="default"/>
          <w:footerReference r:id="rId12" w:type="default"/>
          <w:pgSz w:w="11906" w:h="16839"/>
          <w:pgMar w:top="400" w:right="1785" w:bottom="1336" w:left="1785" w:header="0" w:footer="1060" w:gutter="0"/>
          <w:pgNumType w:fmt="decimal"/>
          <w:cols w:space="720" w:num="1"/>
        </w:sectPr>
      </w:pPr>
      <w:r>
        <w:rPr>
          <w:rFonts w:hint="default" w:ascii="Times New Roman" w:hAnsi="Times New Roman" w:eastAsia="仿宋_GB2312" w:cs="Times New Roman"/>
          <w:sz w:val="21"/>
          <w:highlight w:val="none"/>
          <w:lang w:eastAsia="zh-CN"/>
        </w:rPr>
        <w:drawing>
          <wp:anchor distT="0" distB="0" distL="114300" distR="114300" simplePos="0" relativeHeight="251662336" behindDoc="0" locked="0" layoutInCell="1" allowOverlap="1">
            <wp:simplePos x="0" y="0"/>
            <wp:positionH relativeFrom="column">
              <wp:posOffset>28575</wp:posOffset>
            </wp:positionH>
            <wp:positionV relativeFrom="paragraph">
              <wp:posOffset>2100580</wp:posOffset>
            </wp:positionV>
            <wp:extent cx="5264785" cy="3948430"/>
            <wp:effectExtent l="0" t="0" r="18415" b="13970"/>
            <wp:wrapNone/>
            <wp:docPr id="4" name="图片 4" descr="门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门卫"/>
                    <pic:cNvPicPr>
                      <a:picLocks noChangeAspect="1"/>
                    </pic:cNvPicPr>
                  </pic:nvPicPr>
                  <pic:blipFill>
                    <a:blip r:embed="rId21"/>
                    <a:stretch>
                      <a:fillRect/>
                    </a:stretch>
                  </pic:blipFill>
                  <pic:spPr>
                    <a:xfrm>
                      <a:off x="0" y="0"/>
                      <a:ext cx="5264785" cy="3948430"/>
                    </a:xfrm>
                    <a:prstGeom prst="rect">
                      <a:avLst/>
                    </a:prstGeom>
                  </pic:spPr>
                </pic:pic>
              </a:graphicData>
            </a:graphic>
          </wp:anchor>
        </w:drawing>
      </w:r>
    </w:p>
    <w:p>
      <w:pPr>
        <w:pStyle w:val="4"/>
        <w:bidi w:val="0"/>
        <w:rPr>
          <w:rFonts w:hint="eastAsia"/>
          <w:highlight w:val="none"/>
          <w:lang w:eastAsia="zh-CN"/>
        </w:rPr>
      </w:pPr>
      <w:bookmarkStart w:id="535" w:name="bookmark83"/>
      <w:bookmarkEnd w:id="535"/>
      <w:bookmarkStart w:id="536" w:name="_Toc504821857"/>
      <w:bookmarkStart w:id="537" w:name="_Toc1194726810"/>
      <w:bookmarkStart w:id="538" w:name="_Toc843957788"/>
      <w:bookmarkStart w:id="539" w:name="_Toc1493974122"/>
      <w:bookmarkStart w:id="540" w:name="_Toc1307727477"/>
      <w:bookmarkStart w:id="541" w:name="_Toc1198772936"/>
      <w:r>
        <w:rPr>
          <w:rFonts w:hint="default"/>
          <w:highlight w:val="none"/>
        </w:rPr>
        <w:t>附件6：项目单位自评</w:t>
      </w:r>
      <w:bookmarkEnd w:id="536"/>
      <w:bookmarkEnd w:id="537"/>
      <w:bookmarkEnd w:id="538"/>
      <w:bookmarkEnd w:id="539"/>
      <w:bookmarkEnd w:id="540"/>
      <w:bookmarkEnd w:id="541"/>
    </w:p>
    <w:p>
      <w:pPr>
        <w:keepNext w:val="0"/>
        <w:keepLines w:val="0"/>
        <w:pageBreakBefore w:val="0"/>
        <w:widowControl/>
        <w:kinsoku w:val="0"/>
        <w:wordWrap/>
        <w:overflowPunct/>
        <w:topLinePunct w:val="0"/>
        <w:autoSpaceDE w:val="0"/>
        <w:autoSpaceDN w:val="0"/>
        <w:bidi w:val="0"/>
        <w:adjustRightInd w:val="0"/>
        <w:snapToGrid/>
        <w:spacing w:line="560" w:lineRule="exact"/>
        <w:ind w:left="0" w:leftChars="0" w:firstLine="0" w:firstLineChars="0"/>
        <w:rPr>
          <w:rFonts w:hint="default" w:ascii="Times New Roman" w:hAnsi="Times New Roman" w:eastAsia="仿宋_GB2312" w:cs="Times New Roman"/>
          <w:sz w:val="21"/>
          <w:highlight w:val="none"/>
        </w:rPr>
      </w:pPr>
    </w:p>
    <w:p>
      <w:pPr>
        <w:pStyle w:val="20"/>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克拉玛依区债券项目绩效自评报告</w:t>
      </w:r>
    </w:p>
    <w:p>
      <w:pPr>
        <w:keepNext w:val="0"/>
        <w:keepLines w:val="0"/>
        <w:pageBreakBefore w:val="0"/>
        <w:widowControl/>
        <w:kinsoku w:val="0"/>
        <w:wordWrap/>
        <w:overflowPunct/>
        <w:topLinePunct w:val="0"/>
        <w:autoSpaceDE w:val="0"/>
        <w:autoSpaceDN w:val="0"/>
        <w:bidi w:val="0"/>
        <w:adjustRightInd w:val="0"/>
        <w:snapToGrid/>
        <w:spacing w:line="560" w:lineRule="exact"/>
        <w:jc w:val="center"/>
        <w:rPr>
          <w:rFonts w:hint="default" w:ascii="Times New Roman" w:hAnsi="Times New Roman" w:eastAsia="仿宋_GB2312" w:cs="Times New Roman"/>
          <w:b/>
          <w:kern w:val="0"/>
          <w:sz w:val="52"/>
          <w:szCs w:val="52"/>
          <w:highlight w:val="none"/>
        </w:rPr>
      </w:pPr>
    </w:p>
    <w:p>
      <w:pPr>
        <w:pStyle w:val="17"/>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（2024年度）</w:t>
      </w:r>
    </w:p>
    <w:p>
      <w:pPr>
        <w:keepNext w:val="0"/>
        <w:keepLines w:val="0"/>
        <w:pageBreakBefore w:val="0"/>
        <w:widowControl/>
        <w:kinsoku w:val="0"/>
        <w:wordWrap/>
        <w:overflowPunct/>
        <w:topLinePunct w:val="0"/>
        <w:autoSpaceDE w:val="0"/>
        <w:autoSpaceDN w:val="0"/>
        <w:bidi w:val="0"/>
        <w:adjustRightInd w:val="0"/>
        <w:snapToGrid/>
        <w:spacing w:line="560" w:lineRule="exact"/>
        <w:jc w:val="left"/>
        <w:rPr>
          <w:rFonts w:hint="default" w:ascii="Times New Roman" w:hAnsi="Times New Roman" w:eastAsia="仿宋_GB2312" w:cs="Times New Roman"/>
          <w:kern w:val="0"/>
          <w:sz w:val="31"/>
          <w:szCs w:val="30"/>
          <w:highlight w:val="none"/>
          <w:lang w:val="en-US" w:eastAsia="zh-CN"/>
        </w:rPr>
      </w:pPr>
      <w:r>
        <w:rPr>
          <w:rFonts w:hint="default" w:ascii="Times New Roman" w:hAnsi="Times New Roman" w:eastAsia="仿宋_GB2312" w:cs="Times New Roman"/>
          <w:kern w:val="0"/>
          <w:sz w:val="31"/>
          <w:szCs w:val="36"/>
          <w:highlight w:val="none"/>
        </w:rPr>
        <w:t>项目名称：</w:t>
      </w:r>
      <w:r>
        <w:rPr>
          <w:rFonts w:hint="default" w:ascii="Times New Roman" w:hAnsi="Times New Roman" w:eastAsia="仿宋_GB2312" w:cs="Times New Roman"/>
          <w:kern w:val="0"/>
          <w:sz w:val="31"/>
          <w:szCs w:val="30"/>
          <w:highlight w:val="none"/>
          <w:lang w:val="en-US" w:eastAsia="zh-CN"/>
        </w:rPr>
        <w:t>克拉玛依市克拉玛依区东彩小学新建工程</w:t>
      </w:r>
    </w:p>
    <w:p>
      <w:pPr>
        <w:keepNext w:val="0"/>
        <w:keepLines w:val="0"/>
        <w:pageBreakBefore w:val="0"/>
        <w:widowControl/>
        <w:kinsoku w:val="0"/>
        <w:wordWrap/>
        <w:overflowPunct/>
        <w:topLinePunct w:val="0"/>
        <w:autoSpaceDE w:val="0"/>
        <w:autoSpaceDN w:val="0"/>
        <w:bidi w:val="0"/>
        <w:adjustRightInd w:val="0"/>
        <w:snapToGrid/>
        <w:spacing w:line="560" w:lineRule="exact"/>
        <w:jc w:val="left"/>
        <w:rPr>
          <w:rFonts w:hint="default" w:ascii="Times New Roman" w:hAnsi="Times New Roman" w:eastAsia="仿宋_GB2312" w:cs="Times New Roman"/>
          <w:kern w:val="0"/>
          <w:sz w:val="31"/>
          <w:szCs w:val="36"/>
          <w:highlight w:val="none"/>
          <w:lang w:eastAsia="zh-CN"/>
        </w:rPr>
      </w:pPr>
      <w:r>
        <w:rPr>
          <w:rFonts w:hint="default" w:ascii="Times New Roman" w:hAnsi="Times New Roman" w:eastAsia="仿宋_GB2312" w:cs="Times New Roman"/>
          <w:kern w:val="0"/>
          <w:sz w:val="31"/>
          <w:szCs w:val="36"/>
          <w:highlight w:val="none"/>
        </w:rPr>
        <w:t>实施单位（公章）：</w:t>
      </w:r>
      <w:r>
        <w:rPr>
          <w:rFonts w:hint="default" w:ascii="Times New Roman" w:hAnsi="Times New Roman" w:eastAsia="仿宋_GB2312" w:cs="Times New Roman"/>
          <w:kern w:val="0"/>
          <w:sz w:val="31"/>
          <w:szCs w:val="36"/>
          <w:highlight w:val="none"/>
          <w:lang w:val="en-US" w:eastAsia="zh-CN"/>
        </w:rPr>
        <w:t>克拉玛依区教育局</w:t>
      </w:r>
    </w:p>
    <w:p>
      <w:pPr>
        <w:keepNext w:val="0"/>
        <w:keepLines w:val="0"/>
        <w:pageBreakBefore w:val="0"/>
        <w:widowControl/>
        <w:kinsoku w:val="0"/>
        <w:wordWrap/>
        <w:overflowPunct/>
        <w:topLinePunct w:val="0"/>
        <w:autoSpaceDE w:val="0"/>
        <w:autoSpaceDN w:val="0"/>
        <w:bidi w:val="0"/>
        <w:adjustRightInd w:val="0"/>
        <w:snapToGrid/>
        <w:spacing w:line="560" w:lineRule="exact"/>
        <w:jc w:val="left"/>
        <w:rPr>
          <w:rFonts w:hint="default" w:ascii="Times New Roman" w:hAnsi="Times New Roman" w:eastAsia="仿宋_GB2312" w:cs="Times New Roman"/>
          <w:kern w:val="0"/>
          <w:sz w:val="31"/>
          <w:szCs w:val="36"/>
          <w:highlight w:val="none"/>
          <w:lang w:val="en-US" w:eastAsia="zh-CN"/>
        </w:rPr>
      </w:pPr>
      <w:r>
        <w:rPr>
          <w:rFonts w:hint="default" w:ascii="Times New Roman" w:hAnsi="Times New Roman" w:eastAsia="仿宋_GB2312" w:cs="Times New Roman"/>
          <w:kern w:val="0"/>
          <w:sz w:val="31"/>
          <w:szCs w:val="36"/>
          <w:highlight w:val="none"/>
        </w:rPr>
        <w:t>主管部门（公章）：</w:t>
      </w:r>
      <w:r>
        <w:rPr>
          <w:rFonts w:hint="default" w:ascii="Times New Roman" w:hAnsi="Times New Roman" w:eastAsia="仿宋_GB2312" w:cs="Times New Roman"/>
          <w:kern w:val="0"/>
          <w:sz w:val="31"/>
          <w:szCs w:val="36"/>
          <w:highlight w:val="none"/>
          <w:lang w:val="en-US" w:eastAsia="zh-CN"/>
        </w:rPr>
        <w:t>克拉玛依区政府</w:t>
      </w:r>
    </w:p>
    <w:p>
      <w:pPr>
        <w:keepNext w:val="0"/>
        <w:keepLines w:val="0"/>
        <w:pageBreakBefore w:val="0"/>
        <w:widowControl/>
        <w:kinsoku w:val="0"/>
        <w:wordWrap/>
        <w:overflowPunct/>
        <w:topLinePunct w:val="0"/>
        <w:autoSpaceDE w:val="0"/>
        <w:autoSpaceDN w:val="0"/>
        <w:bidi w:val="0"/>
        <w:adjustRightInd w:val="0"/>
        <w:snapToGrid/>
        <w:spacing w:line="560" w:lineRule="exact"/>
        <w:jc w:val="left"/>
        <w:rPr>
          <w:rFonts w:hint="default" w:ascii="Times New Roman" w:hAnsi="Times New Roman" w:eastAsia="仿宋_GB2312" w:cs="Times New Roman"/>
          <w:kern w:val="0"/>
          <w:sz w:val="31"/>
          <w:szCs w:val="36"/>
          <w:highlight w:val="none"/>
          <w:lang w:val="en-US" w:eastAsia="zh-CN"/>
        </w:rPr>
      </w:pPr>
      <w:r>
        <w:rPr>
          <w:rFonts w:hint="default" w:ascii="Times New Roman" w:hAnsi="Times New Roman" w:eastAsia="仿宋_GB2312" w:cs="Times New Roman"/>
          <w:kern w:val="0"/>
          <w:sz w:val="31"/>
          <w:szCs w:val="36"/>
          <w:highlight w:val="none"/>
        </w:rPr>
        <w:t>项目负责人（签章）：</w:t>
      </w:r>
      <w:r>
        <w:rPr>
          <w:rFonts w:hint="default" w:ascii="Times New Roman" w:hAnsi="Times New Roman" w:eastAsia="仿宋_GB2312" w:cs="Times New Roman"/>
          <w:kern w:val="0"/>
          <w:sz w:val="31"/>
          <w:szCs w:val="36"/>
          <w:highlight w:val="none"/>
          <w:lang w:val="en-US" w:eastAsia="zh-CN"/>
        </w:rPr>
        <w:t>周华良</w:t>
      </w:r>
    </w:p>
    <w:p>
      <w:pPr>
        <w:keepNext w:val="0"/>
        <w:keepLines w:val="0"/>
        <w:pageBreakBefore w:val="0"/>
        <w:widowControl/>
        <w:kinsoku w:val="0"/>
        <w:wordWrap/>
        <w:overflowPunct/>
        <w:topLinePunct w:val="0"/>
        <w:autoSpaceDE w:val="0"/>
        <w:autoSpaceDN w:val="0"/>
        <w:bidi w:val="0"/>
        <w:adjustRightInd w:val="0"/>
        <w:snapToGrid/>
        <w:spacing w:line="560" w:lineRule="exact"/>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1"/>
          <w:szCs w:val="36"/>
          <w:highlight w:val="none"/>
        </w:rPr>
        <w:t>填报时间：</w:t>
      </w:r>
      <w:r>
        <w:rPr>
          <w:rFonts w:hint="default" w:ascii="Times New Roman" w:hAnsi="Times New Roman" w:eastAsia="仿宋_GB2312" w:cs="Times New Roman"/>
          <w:kern w:val="0"/>
          <w:sz w:val="31"/>
          <w:szCs w:val="36"/>
          <w:highlight w:val="none"/>
          <w:lang w:val="en-US" w:eastAsia="zh-CN"/>
        </w:rPr>
        <w:t>2025</w:t>
      </w:r>
      <w:r>
        <w:rPr>
          <w:rFonts w:hint="default" w:ascii="Times New Roman" w:hAnsi="Times New Roman" w:eastAsia="仿宋_GB2312" w:cs="Times New Roman"/>
          <w:kern w:val="0"/>
          <w:sz w:val="31"/>
          <w:szCs w:val="36"/>
          <w:highlight w:val="none"/>
        </w:rPr>
        <w:t>年</w:t>
      </w:r>
      <w:r>
        <w:rPr>
          <w:rFonts w:hint="default" w:ascii="Times New Roman" w:hAnsi="Times New Roman" w:eastAsia="仿宋_GB2312" w:cs="Times New Roman"/>
          <w:kern w:val="0"/>
          <w:sz w:val="31"/>
          <w:szCs w:val="36"/>
          <w:highlight w:val="none"/>
          <w:lang w:val="en-US" w:eastAsia="zh-CN"/>
        </w:rPr>
        <w:t>2</w:t>
      </w:r>
      <w:r>
        <w:rPr>
          <w:rFonts w:hint="default" w:ascii="Times New Roman" w:hAnsi="Times New Roman" w:eastAsia="仿宋_GB2312" w:cs="Times New Roman"/>
          <w:kern w:val="0"/>
          <w:sz w:val="31"/>
          <w:szCs w:val="36"/>
          <w:highlight w:val="none"/>
        </w:rPr>
        <w:t>月</w:t>
      </w:r>
      <w:r>
        <w:rPr>
          <w:rFonts w:hint="default" w:ascii="Times New Roman" w:hAnsi="Times New Roman" w:eastAsia="仿宋_GB2312" w:cs="Times New Roman"/>
          <w:kern w:val="0"/>
          <w:sz w:val="31"/>
          <w:szCs w:val="36"/>
          <w:highlight w:val="none"/>
          <w:lang w:val="en-US" w:eastAsia="zh-CN"/>
        </w:rPr>
        <w:t>28</w:t>
      </w:r>
      <w:r>
        <w:rPr>
          <w:rFonts w:hint="default" w:ascii="Times New Roman" w:hAnsi="Times New Roman" w:eastAsia="仿宋_GB2312" w:cs="Times New Roman"/>
          <w:kern w:val="0"/>
          <w:sz w:val="31"/>
          <w:szCs w:val="36"/>
          <w:highlight w:val="none"/>
        </w:rPr>
        <w:t>日</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542" w:name="_Toc844267730"/>
      <w:bookmarkStart w:id="543" w:name="_Toc1980544949"/>
      <w:bookmarkStart w:id="544" w:name="_Toc1939082658"/>
      <w:bookmarkStart w:id="545" w:name="_Toc85159198"/>
      <w:bookmarkStart w:id="546" w:name="_Toc1628062541"/>
      <w:bookmarkStart w:id="547" w:name="_Toc246631769"/>
      <w:bookmarkStart w:id="548" w:name="_Toc269054481"/>
      <w:r>
        <w:rPr>
          <w:rFonts w:hint="default" w:ascii="Times New Roman" w:hAnsi="Times New Roman" w:cs="Times New Roman"/>
          <w:highlight w:val="none"/>
        </w:rPr>
        <w:t>一、基本情况</w:t>
      </w:r>
      <w:bookmarkEnd w:id="542"/>
      <w:bookmarkEnd w:id="543"/>
      <w:bookmarkEnd w:id="544"/>
      <w:bookmarkEnd w:id="545"/>
      <w:bookmarkEnd w:id="546"/>
      <w:bookmarkEnd w:id="547"/>
      <w:bookmarkEnd w:id="548"/>
    </w:p>
    <w:p>
      <w:pPr>
        <w:pStyle w:val="4"/>
        <w:bidi w:val="0"/>
        <w:rPr>
          <w:rFonts w:hint="default"/>
          <w:highlight w:val="none"/>
        </w:rPr>
      </w:pPr>
      <w:bookmarkStart w:id="549" w:name="_Toc2097889781"/>
      <w:bookmarkStart w:id="550" w:name="_Toc1046531884"/>
      <w:bookmarkStart w:id="551" w:name="_Toc1183282381"/>
      <w:bookmarkStart w:id="552" w:name="_Toc496702873"/>
      <w:bookmarkStart w:id="553" w:name="_Toc1757980160"/>
      <w:bookmarkStart w:id="554" w:name="_Toc1545585232"/>
      <w:bookmarkStart w:id="555" w:name="_Toc1022429343"/>
      <w:r>
        <w:rPr>
          <w:rFonts w:hint="default"/>
          <w:highlight w:val="none"/>
        </w:rPr>
        <w:t>（一）项目概况。</w:t>
      </w:r>
      <w:bookmarkEnd w:id="549"/>
      <w:bookmarkEnd w:id="550"/>
      <w:bookmarkEnd w:id="551"/>
      <w:bookmarkEnd w:id="552"/>
      <w:bookmarkEnd w:id="553"/>
      <w:bookmarkEnd w:id="554"/>
      <w:bookmarkEnd w:id="555"/>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项目总用地面积约47799.42㎡，总建筑面积约17728.03平方米。主要包括小学教学楼、行政综合楼、报告厅、风雨操场、田径场、操场、篮球场、排球场、门卫室、人防及设备用房、场地及配套附属设施等。</w:t>
      </w:r>
    </w:p>
    <w:p>
      <w:pPr>
        <w:pStyle w:val="4"/>
        <w:numPr>
          <w:ilvl w:val="0"/>
          <w:numId w:val="10"/>
        </w:numPr>
        <w:bidi w:val="0"/>
        <w:rPr>
          <w:rFonts w:hint="default"/>
          <w:highlight w:val="none"/>
        </w:rPr>
      </w:pPr>
      <w:bookmarkStart w:id="556" w:name="_Toc688800112"/>
      <w:bookmarkStart w:id="557" w:name="_Toc1170305458"/>
      <w:bookmarkStart w:id="558" w:name="_Toc816250622"/>
      <w:bookmarkStart w:id="559" w:name="_Toc1292533694"/>
      <w:bookmarkStart w:id="560" w:name="_Toc1847032821"/>
      <w:bookmarkStart w:id="561" w:name="_Toc1728406247"/>
      <w:bookmarkStart w:id="562" w:name="_Toc1953308154"/>
      <w:r>
        <w:rPr>
          <w:rFonts w:hint="default"/>
          <w:highlight w:val="none"/>
        </w:rPr>
        <w:t>专项债券项目绩效目标、绩效指标设定情况。</w:t>
      </w:r>
      <w:bookmarkEnd w:id="556"/>
      <w:bookmarkEnd w:id="557"/>
      <w:bookmarkEnd w:id="558"/>
      <w:bookmarkEnd w:id="559"/>
      <w:bookmarkEnd w:id="560"/>
      <w:bookmarkEnd w:id="561"/>
      <w:bookmarkEnd w:id="562"/>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该项目总投资为12100.99万元，其中2024年新增一般债券资金5000万元，按照政府债券资金管理要求规范管理使用，于2024年12月使用完毕。</w:t>
      </w:r>
    </w:p>
    <w:p>
      <w:pPr>
        <w:pStyle w:val="13"/>
        <w:pageBreakBefore w:val="0"/>
        <w:widowControl/>
        <w:wordWrap/>
        <w:overflowPunct/>
        <w:topLinePunct w:val="0"/>
        <w:bidi w:val="0"/>
        <w:snapToGrid/>
        <w:spacing w:line="560" w:lineRule="exact"/>
        <w:rPr>
          <w:rFonts w:hint="default" w:ascii="Times New Roman" w:hAnsi="Times New Roman" w:eastAsia="仿宋_GB2312" w:cs="Times New Roman"/>
          <w:color w:val="000000"/>
          <w:highlight w:val="none"/>
        </w:rPr>
      </w:pPr>
      <w:r>
        <w:rPr>
          <w:rFonts w:hint="default" w:ascii="Times New Roman" w:hAnsi="Times New Roman" w:eastAsia="仿宋_GB2312" w:cs="Times New Roman"/>
          <w:highlight w:val="none"/>
        </w:rPr>
        <w:t>绩效指标设定三级指标：一级指标、二级指标、三级指标。其中一级指标包含项目完成、项目效益、满意度指标；二级指标包含数量指标、质量指标、时效指标、社会效益指标、满意度指标；三级指标</w:t>
      </w:r>
      <w:r>
        <w:rPr>
          <w:rFonts w:hint="default" w:ascii="Times New Roman" w:hAnsi="Times New Roman" w:eastAsia="仿宋_GB2312" w:cs="Times New Roman"/>
          <w:color w:val="000000"/>
          <w:highlight w:val="none"/>
        </w:rPr>
        <w:t>根据国家对义务教育均衡发展的要求，及校园建设需求，普通中小学建设布局学生能就近走读入学，有较好的规模效益和社会效益。</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563" w:name="_Toc312500360"/>
      <w:bookmarkStart w:id="564" w:name="_Toc521109733"/>
      <w:bookmarkStart w:id="565" w:name="_Toc1816705653"/>
      <w:bookmarkStart w:id="566" w:name="_Toc1726625054"/>
      <w:bookmarkStart w:id="567" w:name="_Toc667632589"/>
      <w:bookmarkStart w:id="568" w:name="_Toc598666918"/>
      <w:bookmarkStart w:id="569" w:name="_Toc1204505162"/>
      <w:r>
        <w:rPr>
          <w:rFonts w:hint="default" w:ascii="Times New Roman" w:hAnsi="Times New Roman" w:cs="Times New Roman"/>
          <w:highlight w:val="none"/>
        </w:rPr>
        <w:t>二、绩效自评工作开展情况</w:t>
      </w:r>
      <w:bookmarkEnd w:id="563"/>
      <w:bookmarkEnd w:id="564"/>
      <w:bookmarkEnd w:id="565"/>
      <w:bookmarkEnd w:id="566"/>
      <w:bookmarkEnd w:id="567"/>
      <w:bookmarkEnd w:id="568"/>
      <w:bookmarkEnd w:id="569"/>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定期做好评价基础数据、佐证材料收集及项目现场勘验检查核实等工作。</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570" w:name="_Toc440760667"/>
      <w:bookmarkStart w:id="571" w:name="_Toc298867748"/>
      <w:bookmarkStart w:id="572" w:name="_Toc449416925"/>
      <w:bookmarkStart w:id="573" w:name="_Toc834004631"/>
      <w:bookmarkStart w:id="574" w:name="_Toc1937401112"/>
      <w:bookmarkStart w:id="575" w:name="_Toc1596033605"/>
      <w:bookmarkStart w:id="576" w:name="_Toc852970065"/>
      <w:r>
        <w:rPr>
          <w:rFonts w:hint="default" w:ascii="Times New Roman" w:hAnsi="Times New Roman" w:cs="Times New Roman"/>
          <w:highlight w:val="none"/>
        </w:rPr>
        <w:t>三、评价情况及分析</w:t>
      </w:r>
      <w:bookmarkEnd w:id="570"/>
      <w:bookmarkEnd w:id="571"/>
      <w:bookmarkEnd w:id="572"/>
      <w:bookmarkEnd w:id="573"/>
      <w:bookmarkEnd w:id="574"/>
      <w:bookmarkEnd w:id="575"/>
      <w:bookmarkEnd w:id="576"/>
    </w:p>
    <w:p>
      <w:pPr>
        <w:pStyle w:val="4"/>
        <w:numPr>
          <w:ilvl w:val="0"/>
          <w:numId w:val="11"/>
        </w:numPr>
        <w:bidi w:val="0"/>
        <w:rPr>
          <w:rFonts w:hint="default"/>
          <w:highlight w:val="none"/>
        </w:rPr>
      </w:pPr>
      <w:bookmarkStart w:id="577" w:name="_Toc318564558"/>
      <w:bookmarkStart w:id="578" w:name="_Toc105990303"/>
      <w:bookmarkStart w:id="579" w:name="_Toc1193431766"/>
      <w:bookmarkStart w:id="580" w:name="_Toc650271976"/>
      <w:bookmarkStart w:id="581" w:name="_Toc490069248"/>
      <w:bookmarkStart w:id="582" w:name="_Toc1414538730"/>
      <w:bookmarkStart w:id="583" w:name="_Toc1753433570"/>
      <w:r>
        <w:rPr>
          <w:rFonts w:hint="default"/>
          <w:highlight w:val="none"/>
        </w:rPr>
        <w:t>资金投入情况</w:t>
      </w:r>
      <w:bookmarkEnd w:id="577"/>
      <w:bookmarkEnd w:id="578"/>
      <w:bookmarkEnd w:id="579"/>
      <w:bookmarkEnd w:id="580"/>
      <w:bookmarkEnd w:id="581"/>
      <w:bookmarkEnd w:id="582"/>
      <w:bookmarkEnd w:id="583"/>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该项目总投资为12100.99万元，其中2024年新增一般债券资金5000万元，按照政府债券资金管理要求规范管理使用，于2024年12月使用完毕。</w:t>
      </w:r>
    </w:p>
    <w:p>
      <w:pPr>
        <w:pStyle w:val="4"/>
        <w:numPr>
          <w:ilvl w:val="0"/>
          <w:numId w:val="11"/>
        </w:numPr>
        <w:bidi w:val="0"/>
        <w:rPr>
          <w:rFonts w:hint="default"/>
          <w:highlight w:val="none"/>
        </w:rPr>
      </w:pPr>
      <w:bookmarkStart w:id="584" w:name="_Toc510428182"/>
      <w:bookmarkStart w:id="585" w:name="_Toc576821049"/>
      <w:bookmarkStart w:id="586" w:name="_Toc39923209"/>
      <w:bookmarkStart w:id="587" w:name="_Toc1508462820"/>
      <w:bookmarkStart w:id="588" w:name="_Toc437794335"/>
      <w:bookmarkStart w:id="589" w:name="_Toc994064891"/>
      <w:bookmarkStart w:id="590" w:name="_Toc1115079158"/>
      <w:r>
        <w:rPr>
          <w:rFonts w:hint="default"/>
          <w:highlight w:val="none"/>
        </w:rPr>
        <w:t>资金执行情况</w:t>
      </w:r>
      <w:bookmarkEnd w:id="584"/>
      <w:bookmarkEnd w:id="585"/>
      <w:bookmarkEnd w:id="586"/>
      <w:bookmarkEnd w:id="587"/>
      <w:bookmarkEnd w:id="588"/>
      <w:bookmarkEnd w:id="589"/>
      <w:bookmarkEnd w:id="590"/>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该项目按照政府债券资金管理要求规范管理使用，于2024年12月内使用完毕，资金支付及时率100%。</w:t>
      </w:r>
    </w:p>
    <w:p>
      <w:pPr>
        <w:pStyle w:val="4"/>
        <w:numPr>
          <w:ilvl w:val="0"/>
          <w:numId w:val="11"/>
        </w:numPr>
        <w:bidi w:val="0"/>
        <w:rPr>
          <w:rFonts w:hint="default"/>
          <w:highlight w:val="none"/>
        </w:rPr>
      </w:pPr>
      <w:bookmarkStart w:id="591" w:name="_Toc1690162905"/>
      <w:bookmarkStart w:id="592" w:name="_Toc730413723"/>
      <w:bookmarkStart w:id="593" w:name="_Toc45621137"/>
      <w:bookmarkStart w:id="594" w:name="_Toc1973333024"/>
      <w:bookmarkStart w:id="595" w:name="_Toc974475799"/>
      <w:bookmarkStart w:id="596" w:name="_Toc1716768756"/>
      <w:bookmarkStart w:id="597" w:name="_Toc890187985"/>
      <w:r>
        <w:rPr>
          <w:rFonts w:hint="default"/>
          <w:highlight w:val="none"/>
        </w:rPr>
        <w:t>项目产出情况</w:t>
      </w:r>
      <w:bookmarkEnd w:id="591"/>
      <w:bookmarkEnd w:id="592"/>
      <w:bookmarkEnd w:id="593"/>
      <w:bookmarkEnd w:id="594"/>
      <w:bookmarkEnd w:id="595"/>
      <w:bookmarkEnd w:id="596"/>
      <w:bookmarkEnd w:id="597"/>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主要包括小学教学楼、行政综合楼、报告厅、风雨操场、田径场、操场、篮球场、排球场、门卫室、人防及设备用房、场地及配套附属设施等。</w:t>
      </w:r>
    </w:p>
    <w:p>
      <w:pPr>
        <w:pStyle w:val="4"/>
        <w:numPr>
          <w:ilvl w:val="0"/>
          <w:numId w:val="11"/>
        </w:numPr>
        <w:bidi w:val="0"/>
        <w:rPr>
          <w:rFonts w:hint="default"/>
          <w:highlight w:val="none"/>
        </w:rPr>
      </w:pPr>
      <w:bookmarkStart w:id="598" w:name="_Toc1801745466"/>
      <w:bookmarkStart w:id="599" w:name="_Toc2018378893"/>
      <w:bookmarkStart w:id="600" w:name="_Toc1304461771"/>
      <w:bookmarkStart w:id="601" w:name="_Toc102787580"/>
      <w:bookmarkStart w:id="602" w:name="_Toc1046916209"/>
      <w:bookmarkStart w:id="603" w:name="_Toc142201000"/>
      <w:bookmarkStart w:id="604" w:name="_Toc70690100"/>
      <w:r>
        <w:rPr>
          <w:rFonts w:hint="default"/>
          <w:highlight w:val="none"/>
        </w:rPr>
        <w:t>满意度</w:t>
      </w:r>
      <w:bookmarkEnd w:id="598"/>
      <w:bookmarkEnd w:id="599"/>
      <w:bookmarkEnd w:id="600"/>
      <w:bookmarkEnd w:id="601"/>
      <w:bookmarkEnd w:id="602"/>
      <w:bookmarkEnd w:id="603"/>
      <w:bookmarkEnd w:id="604"/>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师生、家长满意度100%。</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605" w:name="_Toc1242366639"/>
      <w:bookmarkStart w:id="606" w:name="_Toc530053909"/>
      <w:bookmarkStart w:id="607" w:name="_Toc974004872"/>
      <w:bookmarkStart w:id="608" w:name="_Toc1970391536"/>
      <w:bookmarkStart w:id="609" w:name="_Toc1187204792"/>
      <w:bookmarkStart w:id="610" w:name="_Toc428432974"/>
      <w:bookmarkStart w:id="611" w:name="_Toc269140715"/>
      <w:r>
        <w:rPr>
          <w:rFonts w:hint="default" w:ascii="Times New Roman" w:hAnsi="Times New Roman" w:cs="Times New Roman"/>
          <w:highlight w:val="none"/>
        </w:rPr>
        <w:t>四、发现的主要问题和改进措施</w:t>
      </w:r>
      <w:bookmarkEnd w:id="605"/>
      <w:bookmarkEnd w:id="606"/>
      <w:bookmarkEnd w:id="607"/>
      <w:bookmarkEnd w:id="608"/>
      <w:bookmarkEnd w:id="609"/>
      <w:bookmarkEnd w:id="610"/>
      <w:bookmarkEnd w:id="611"/>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（一）无预算执行及项目实施中存在的问题。</w:t>
      </w:r>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（二）无未完成的绩效目标、指标。</w:t>
      </w:r>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（三）无其他需要反映的问题。</w:t>
      </w:r>
    </w:p>
    <w:p>
      <w:pPr>
        <w:pStyle w:val="3"/>
        <w:pageBreakBefore w:val="0"/>
        <w:wordWrap/>
        <w:overflowPunct/>
        <w:topLinePunct w:val="0"/>
        <w:bidi w:val="0"/>
        <w:snapToGrid/>
        <w:spacing w:line="560" w:lineRule="exact"/>
        <w:rPr>
          <w:rFonts w:hint="default" w:ascii="Times New Roman" w:hAnsi="Times New Roman" w:cs="Times New Roman"/>
          <w:highlight w:val="none"/>
        </w:rPr>
      </w:pPr>
      <w:bookmarkStart w:id="612" w:name="_Toc847436423"/>
      <w:bookmarkStart w:id="613" w:name="_Toc1080374867"/>
      <w:bookmarkStart w:id="614" w:name="_Toc853880807"/>
      <w:bookmarkStart w:id="615" w:name="_Toc1979526270"/>
      <w:bookmarkStart w:id="616" w:name="_Toc160325627"/>
      <w:bookmarkStart w:id="617" w:name="_Toc472601892"/>
      <w:bookmarkStart w:id="618" w:name="_Toc25225165"/>
      <w:r>
        <w:rPr>
          <w:rFonts w:hint="default" w:ascii="Times New Roman" w:hAnsi="Times New Roman" w:cs="Times New Roman"/>
          <w:highlight w:val="none"/>
        </w:rPr>
        <w:t>五、绩效自评结果拟应用和公开情况</w:t>
      </w:r>
      <w:bookmarkEnd w:id="612"/>
      <w:bookmarkEnd w:id="613"/>
      <w:bookmarkEnd w:id="614"/>
      <w:bookmarkEnd w:id="615"/>
      <w:bookmarkEnd w:id="616"/>
      <w:bookmarkEnd w:id="617"/>
      <w:bookmarkEnd w:id="618"/>
    </w:p>
    <w:p>
      <w:pPr>
        <w:pStyle w:val="13"/>
        <w:pageBreakBefore w:val="0"/>
        <w:widowControl/>
        <w:wordWrap/>
        <w:overflowPunct/>
        <w:topLinePunct w:val="0"/>
        <w:bidi w:val="0"/>
        <w:snapToGrid/>
        <w:spacing w:line="560" w:lineRule="exact"/>
        <w:rPr>
          <w:rFonts w:hint="default" w:ascii="Times New Roman" w:hAnsi="Times New Roman" w:eastAsia="仿宋_GB2312" w:cs="Times New Roman"/>
          <w:highlight w:val="none"/>
        </w:rPr>
      </w:pPr>
      <w:r>
        <w:rPr>
          <w:rStyle w:val="23"/>
          <w:rFonts w:hint="default" w:ascii="Times New Roman" w:hAnsi="Times New Roman" w:eastAsia="仿宋_GB2312" w:cs="Times New Roman"/>
          <w:b w:val="0"/>
          <w:highlight w:val="none"/>
        </w:rPr>
        <w:t>保证了新区校园建设，并保证新区的学生能够就近走读入学。</w:t>
      </w:r>
    </w:p>
    <w:p>
      <w:pPr>
        <w:pStyle w:val="13"/>
        <w:pageBreakBefore w:val="0"/>
        <w:widowControl/>
        <w:numPr>
          <w:ilvl w:val="0"/>
          <w:numId w:val="12"/>
        </w:numPr>
        <w:wordWrap/>
        <w:overflowPunct/>
        <w:topLinePunct w:val="0"/>
        <w:bidi w:val="0"/>
        <w:snapToGrid/>
        <w:spacing w:line="560" w:lineRule="exact"/>
        <w:ind w:firstLine="652" w:firstLineChars="200"/>
        <w:rPr>
          <w:rFonts w:hint="default" w:ascii="Times New Roman" w:hAnsi="Times New Roman" w:eastAsia="仿宋_GB2312" w:cs="Times New Roman"/>
          <w:highlight w:val="none"/>
        </w:rPr>
      </w:pPr>
      <w:bookmarkStart w:id="619" w:name="_Toc752414457"/>
      <w:bookmarkStart w:id="620" w:name="_Toc905069696"/>
      <w:r>
        <w:rPr>
          <w:rFonts w:hint="default" w:ascii="Times New Roman" w:hAnsi="Times New Roman" w:eastAsia="仿宋_GB2312" w:cs="Times New Roman"/>
          <w:highlight w:val="none"/>
        </w:rPr>
        <w:t>专项债券项目绩效目标自评表</w:t>
      </w:r>
      <w:bookmarkEnd w:id="619"/>
      <w:bookmarkEnd w:id="620"/>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sectPr>
          <w:headerReference r:id="rId13" w:type="default"/>
          <w:footerReference r:id="rId14" w:type="default"/>
          <w:pgSz w:w="11906" w:h="16839"/>
          <w:pgMar w:top="400" w:right="1785" w:bottom="969" w:left="1785" w:header="0" w:footer="340" w:gutter="0"/>
          <w:pgNumType w:fmt="decimal"/>
          <w:cols w:space="720" w:num="1"/>
        </w:sectPr>
      </w:pPr>
    </w:p>
    <w:tbl>
      <w:tblPr>
        <w:tblStyle w:val="21"/>
        <w:tblpPr w:leftFromText="180" w:rightFromText="180" w:vertAnchor="text" w:horzAnchor="page" w:tblpX="966" w:tblpY="356"/>
        <w:tblOverlap w:val="never"/>
        <w:tblW w:w="44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34"/>
        <w:gridCol w:w="2543"/>
        <w:gridCol w:w="1755"/>
        <w:gridCol w:w="2541"/>
        <w:gridCol w:w="1299"/>
        <w:gridCol w:w="1303"/>
        <w:gridCol w:w="1237"/>
        <w:gridCol w:w="14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5000" w:type="pct"/>
            <w:gridSpan w:val="8"/>
            <w:tcBorders>
              <w:top w:val="nil"/>
              <w:left w:val="nil"/>
              <w:bottom w:val="nil"/>
              <w:right w:val="nil"/>
            </w:tcBorders>
            <w:shd w:val="clear" w:color="auto" w:fill="auto"/>
            <w:vAlign w:val="center"/>
          </w:tcPr>
          <w:p>
            <w:pPr>
              <w:pStyle w:val="39"/>
              <w:bidi w:val="0"/>
              <w:rPr>
                <w:rFonts w:hint="default"/>
                <w:highlight w:val="none"/>
              </w:rPr>
            </w:pPr>
            <w:r>
              <w:rPr>
                <w:rFonts w:hint="default"/>
                <w:highlight w:val="none"/>
                <w:lang w:val="en-US" w:eastAsia="zh-CN"/>
              </w:rPr>
              <w:t>债券项目绩效目标自评表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8"/>
            <w:tcBorders>
              <w:top w:val="nil"/>
              <w:left w:val="nil"/>
              <w:bottom w:val="single" w:color="auto" w:sz="4" w:space="0"/>
              <w:right w:val="nil"/>
            </w:tcBorders>
            <w:shd w:val="clear" w:color="auto" w:fill="auto"/>
            <w:vAlign w:val="center"/>
          </w:tcPr>
          <w:p>
            <w:pPr>
              <w:pStyle w:val="39"/>
              <w:bidi w:val="0"/>
              <w:rPr>
                <w:rFonts w:hint="default"/>
                <w:highlight w:val="none"/>
              </w:rPr>
            </w:pPr>
            <w:r>
              <w:rPr>
                <w:rFonts w:hint="default"/>
                <w:highlight w:val="none"/>
                <w:lang w:val="en-US" w:eastAsia="zh-CN"/>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83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项目名称</w:t>
            </w:r>
          </w:p>
        </w:tc>
        <w:tc>
          <w:tcPr>
            <w:tcW w:w="416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克拉玛依市克拉玛依区东彩小学新建工程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83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主管部门</w:t>
            </w:r>
          </w:p>
        </w:tc>
        <w:tc>
          <w:tcPr>
            <w:tcW w:w="416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克拉玛依区</w:t>
            </w:r>
            <w:r>
              <w:rPr>
                <w:rFonts w:hint="eastAsia"/>
                <w:highlight w:val="none"/>
                <w:lang w:val="en-US" w:eastAsia="zh-CN"/>
              </w:rPr>
              <w:t>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83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实施单位</w:t>
            </w:r>
          </w:p>
        </w:tc>
        <w:tc>
          <w:tcPr>
            <w:tcW w:w="2348"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克拉玛依区教育局</w:t>
            </w:r>
          </w:p>
        </w:tc>
        <w:tc>
          <w:tcPr>
            <w:tcW w:w="44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实施期</w:t>
            </w:r>
          </w:p>
        </w:tc>
        <w:tc>
          <w:tcPr>
            <w:tcW w:w="136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2024年 6月  -    2024年12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8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项目资金</w:t>
            </w:r>
          </w:p>
        </w:tc>
        <w:tc>
          <w:tcPr>
            <w:tcW w:w="87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年初</w:t>
            </w:r>
          </w:p>
        </w:tc>
        <w:tc>
          <w:tcPr>
            <w:tcW w:w="87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全年预算数（A）</w:t>
            </w:r>
          </w:p>
        </w:tc>
        <w:tc>
          <w:tcPr>
            <w:tcW w:w="4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全年执行数（B）</w:t>
            </w:r>
          </w:p>
        </w:tc>
        <w:tc>
          <w:tcPr>
            <w:tcW w:w="4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分值</w:t>
            </w:r>
          </w:p>
        </w:tc>
        <w:tc>
          <w:tcPr>
            <w:tcW w:w="4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执行率（B/A)</w:t>
            </w:r>
          </w:p>
        </w:tc>
        <w:tc>
          <w:tcPr>
            <w:tcW w:w="49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4" w:hRule="atLeast"/>
        </w:trPr>
        <w:tc>
          <w:tcPr>
            <w:tcW w:w="8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预算数</w:t>
            </w:r>
          </w:p>
        </w:tc>
        <w:tc>
          <w:tcPr>
            <w:tcW w:w="8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9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（分值*B/A）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8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年度资金总额：</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9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8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 xml:space="preserve">       其中：财政拨款:</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9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r>
    </w:tbl>
    <w:tbl>
      <w:tblPr>
        <w:tblStyle w:val="21"/>
        <w:tblpPr w:leftFromText="180" w:rightFromText="180" w:vertAnchor="text" w:horzAnchor="page" w:tblpX="966" w:tblpY="7326"/>
        <w:tblOverlap w:val="never"/>
        <w:tblW w:w="44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0"/>
        <w:gridCol w:w="880"/>
        <w:gridCol w:w="694"/>
        <w:gridCol w:w="1240"/>
        <w:gridCol w:w="407"/>
        <w:gridCol w:w="896"/>
        <w:gridCol w:w="688"/>
        <w:gridCol w:w="1067"/>
        <w:gridCol w:w="1073"/>
        <w:gridCol w:w="729"/>
        <w:gridCol w:w="739"/>
        <w:gridCol w:w="648"/>
        <w:gridCol w:w="651"/>
        <w:gridCol w:w="648"/>
        <w:gridCol w:w="655"/>
        <w:gridCol w:w="974"/>
        <w:gridCol w:w="263"/>
        <w:gridCol w:w="456"/>
        <w:gridCol w:w="9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4" w:hRule="atLeast"/>
        </w:trPr>
        <w:tc>
          <w:tcPr>
            <w:tcW w:w="835"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eastAsia="FangSong_GB2312"/>
                <w:highlight w:val="none"/>
                <w:lang w:val="en-US" w:eastAsia="zh-CN"/>
              </w:rPr>
            </w:pPr>
            <w:r>
              <w:rPr>
                <w:rFonts w:hint="default" w:ascii="Times New Roman" w:hAnsi="Times New Roman" w:cs="Times New Roman"/>
                <w:highlight w:val="none"/>
                <w:lang w:val="en-US" w:eastAsia="zh-CN"/>
              </w:rPr>
              <w:t>年度总体目标</w:t>
            </w:r>
          </w:p>
        </w:tc>
        <w:tc>
          <w:tcPr>
            <w:tcW w:w="87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 xml:space="preserve">             债券资金:</w:t>
            </w:r>
          </w:p>
        </w:tc>
        <w:tc>
          <w:tcPr>
            <w:tcW w:w="6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5000</w:t>
            </w:r>
          </w:p>
        </w:tc>
        <w:tc>
          <w:tcPr>
            <w:tcW w:w="8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5000</w:t>
            </w:r>
          </w:p>
        </w:tc>
        <w:tc>
          <w:tcPr>
            <w:tcW w:w="4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5000</w:t>
            </w:r>
          </w:p>
        </w:tc>
        <w:tc>
          <w:tcPr>
            <w:tcW w:w="4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4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4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835"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 xml:space="preserve">             其他资金：</w:t>
            </w:r>
          </w:p>
        </w:tc>
        <w:tc>
          <w:tcPr>
            <w:tcW w:w="6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4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4" w:hRule="atLeast"/>
        </w:trPr>
        <w:tc>
          <w:tcPr>
            <w:tcW w:w="835"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 xml:space="preserve">             年度目标:</w:t>
            </w:r>
          </w:p>
        </w:tc>
        <w:tc>
          <w:tcPr>
            <w:tcW w:w="6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4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835"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年度总体目标</w:t>
            </w:r>
          </w:p>
        </w:tc>
        <w:tc>
          <w:tcPr>
            <w:tcW w:w="2348"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年初设定目标</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835"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48" w:type="pct"/>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2024年新增一般债券资金5000万元，按照政府债券资金管理要求规范管理使用，于发行之日起3个月内使用完毕。</w:t>
            </w:r>
          </w:p>
        </w:tc>
        <w:tc>
          <w:tcPr>
            <w:tcW w:w="1815" w:type="pct"/>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2024年新增一般债券资金5000万元，按照政府债券资金管理要求规范管理使用，于一年内使用完毕。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835"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48" w:type="pct"/>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835"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48" w:type="pct"/>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一级</w:t>
            </w: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二级</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三级</w:t>
            </w:r>
          </w:p>
        </w:tc>
        <w:tc>
          <w:tcPr>
            <w:tcW w:w="4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年度</w:t>
            </w:r>
          </w:p>
        </w:tc>
        <w:tc>
          <w:tcPr>
            <w:tcW w:w="6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全年</w:t>
            </w:r>
          </w:p>
        </w:tc>
        <w:tc>
          <w:tcPr>
            <w:tcW w:w="3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完成程度</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分值</w:t>
            </w:r>
          </w:p>
        </w:tc>
        <w:tc>
          <w:tcPr>
            <w:tcW w:w="25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得分</w:t>
            </w:r>
          </w:p>
        </w:tc>
        <w:tc>
          <w:tcPr>
            <w:tcW w:w="147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未完成原因分析</w:t>
            </w: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改进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指标</w:t>
            </w: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指标</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指标</w:t>
            </w:r>
          </w:p>
        </w:tc>
        <w:tc>
          <w:tcPr>
            <w:tcW w:w="4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目标值</w:t>
            </w:r>
          </w:p>
        </w:tc>
        <w:tc>
          <w:tcPr>
            <w:tcW w:w="6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完成值</w:t>
            </w:r>
          </w:p>
        </w:tc>
        <w:tc>
          <w:tcPr>
            <w:tcW w:w="3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5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5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47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（请在相应选项下划“√”并在原因说明中分项阐述）</w:t>
            </w: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3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运算</w:t>
            </w:r>
          </w:p>
        </w:tc>
        <w:tc>
          <w:tcPr>
            <w:tcW w:w="30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内容</w:t>
            </w:r>
          </w:p>
        </w:tc>
        <w:tc>
          <w:tcPr>
            <w:tcW w:w="23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度量单位</w:t>
            </w:r>
          </w:p>
        </w:tc>
        <w:tc>
          <w:tcPr>
            <w:tcW w:w="3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5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前期准备工作不充分</w:t>
            </w:r>
          </w:p>
        </w:tc>
        <w:tc>
          <w:tcPr>
            <w:tcW w:w="22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配套资金到位不足</w:t>
            </w:r>
          </w:p>
        </w:tc>
        <w:tc>
          <w:tcPr>
            <w:tcW w:w="2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制度保障</w:t>
            </w:r>
          </w:p>
        </w:tc>
        <w:tc>
          <w:tcPr>
            <w:tcW w:w="2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附带条件保障</w:t>
            </w:r>
          </w:p>
        </w:tc>
        <w:tc>
          <w:tcPr>
            <w:tcW w:w="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其他</w:t>
            </w: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原因</w:t>
            </w:r>
          </w:p>
        </w:tc>
        <w:tc>
          <w:tcPr>
            <w:tcW w:w="3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9"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绩效</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38"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符号</w:t>
            </w:r>
          </w:p>
        </w:tc>
        <w:tc>
          <w:tcPr>
            <w:tcW w:w="30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5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5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说明</w:t>
            </w:r>
          </w:p>
        </w:tc>
        <w:tc>
          <w:tcPr>
            <w:tcW w:w="3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7"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指标</w:t>
            </w:r>
          </w:p>
        </w:tc>
        <w:tc>
          <w:tcPr>
            <w:tcW w:w="3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产出</w:t>
            </w: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数量</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新建（改扩建）学校数量</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所</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1所</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指标</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主城区普惠性中小学校覆盖率</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95</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95%</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5</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7"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质量</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新建或改造校舍质量达标率</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指标</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政府债券资金规范管理使用率</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时效</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政府债券资金三个月内形成支出</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90</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天</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90天</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7"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社会效益指标</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义务教育服务能力、水平</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显著增强</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显著增强</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7"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绩效</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义务教育关注度、社会影响力</w:t>
            </w:r>
          </w:p>
        </w:tc>
        <w:tc>
          <w:tcPr>
            <w:tcW w:w="13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稳步提升</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稳步提升</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4" w:hRule="atLeast"/>
        </w:trPr>
        <w:tc>
          <w:tcPr>
            <w:tcW w:w="29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3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满意度指标</w:t>
            </w:r>
          </w:p>
        </w:tc>
        <w:tc>
          <w:tcPr>
            <w:tcW w:w="2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服务对象满意度指标</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师生满意度</w:t>
            </w:r>
          </w:p>
        </w:tc>
        <w:tc>
          <w:tcPr>
            <w:tcW w:w="13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85</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85%</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15</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15</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9" w:hRule="atLeast"/>
        </w:trPr>
        <w:tc>
          <w:tcPr>
            <w:tcW w:w="29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家长满意度</w:t>
            </w:r>
          </w:p>
        </w:tc>
        <w:tc>
          <w:tcPr>
            <w:tcW w:w="139"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r>
              <w:rPr>
                <w:rFonts w:hint="default"/>
                <w:highlight w:val="none"/>
                <w:lang w:val="en-US" w:eastAsia="zh-CN"/>
              </w:rPr>
              <w:t>≥</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85</w:t>
            </w:r>
          </w:p>
        </w:tc>
        <w:tc>
          <w:tcPr>
            <w:tcW w:w="2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85%</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100%</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15</w:t>
            </w:r>
          </w:p>
        </w:tc>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15</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24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68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产出、效益、满意度指标自评得分小计</w:t>
            </w:r>
          </w:p>
        </w:tc>
        <w:tc>
          <w:tcPr>
            <w:tcW w:w="504"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90</w:t>
            </w:r>
          </w:p>
        </w:tc>
        <w:tc>
          <w:tcPr>
            <w:tcW w:w="89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预算执行率得分</w:t>
            </w:r>
          </w:p>
        </w:tc>
        <w:tc>
          <w:tcPr>
            <w:tcW w:w="922" w:type="pct"/>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lang w:val="en-US" w:eastAsia="zh-CN"/>
              </w:rPr>
            </w:pPr>
            <w:r>
              <w:rPr>
                <w:rFonts w:hint="default"/>
                <w:highlight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268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（C）</w:t>
            </w:r>
          </w:p>
        </w:tc>
        <w:tc>
          <w:tcPr>
            <w:tcW w:w="504"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89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（D）</w:t>
            </w:r>
          </w:p>
        </w:tc>
        <w:tc>
          <w:tcPr>
            <w:tcW w:w="922" w:type="pct"/>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68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绩效自评总得分（C+D）</w:t>
            </w:r>
          </w:p>
        </w:tc>
        <w:tc>
          <w:tcPr>
            <w:tcW w:w="2319"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说明</w:t>
            </w:r>
          </w:p>
        </w:tc>
        <w:tc>
          <w:tcPr>
            <w:tcW w:w="4402" w:type="pct"/>
            <w:gridSpan w:val="17"/>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请在此处简要说明各级审计和财政监督检查中发现的问题及其所涉及的金额，如没有请填无。无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结果应用建议</w:t>
            </w: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结果应用建议选项</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（请在相应选项□内划“√”并在“具体建议内容”栏阐述）</w:t>
            </w: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□改进资金预算管理（改进措施和方式）</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□规范项目资金管理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□建议调整公共服务标准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□其他建议</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主管</w:t>
            </w:r>
          </w:p>
        </w:tc>
        <w:tc>
          <w:tcPr>
            <w:tcW w:w="2586" w:type="pct"/>
            <w:gridSpan w:val="9"/>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具体审核意见</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总体意见：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部门</w:t>
            </w:r>
          </w:p>
        </w:tc>
        <w:tc>
          <w:tcPr>
            <w:tcW w:w="2586" w:type="pct"/>
            <w:gridSpan w:val="9"/>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审核</w:t>
            </w:r>
          </w:p>
        </w:tc>
        <w:tc>
          <w:tcPr>
            <w:tcW w:w="2586" w:type="pct"/>
            <w:gridSpan w:val="9"/>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意见</w:t>
            </w:r>
          </w:p>
        </w:tc>
        <w:tc>
          <w:tcPr>
            <w:tcW w:w="2586" w:type="pct"/>
            <w:gridSpan w:val="9"/>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4"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（请在相应选项□内划“√”，如有其他意见请在“总体意见”栏阐述，下同）</w:t>
            </w:r>
          </w:p>
        </w:tc>
        <w:tc>
          <w:tcPr>
            <w:tcW w:w="2586" w:type="pct"/>
            <w:gridSpan w:val="9"/>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□建议继续全额安排</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□建议继续安排，按规定调整下一年度预算金额</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□改进资金预算管理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□规范项目资金管理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□调整公共服务标准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 xml:space="preserve"> 主管部门公章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□难以建设实施，调整资金用途</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□其他意见</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财政</w:t>
            </w:r>
          </w:p>
        </w:tc>
        <w:tc>
          <w:tcPr>
            <w:tcW w:w="2586" w:type="pct"/>
            <w:gridSpan w:val="9"/>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具体审核意见</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总体意见：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部门</w:t>
            </w:r>
          </w:p>
        </w:tc>
        <w:tc>
          <w:tcPr>
            <w:tcW w:w="2586" w:type="pct"/>
            <w:gridSpan w:val="9"/>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审核</w:t>
            </w:r>
          </w:p>
        </w:tc>
        <w:tc>
          <w:tcPr>
            <w:tcW w:w="2586" w:type="pct"/>
            <w:gridSpan w:val="9"/>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意见</w:t>
            </w: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□建议继续全额安排</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□建议继续安排，按规定调整下一年度预算金额</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□改进预算资金管理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□规范项目资金管理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□调整公共服务标准</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 xml:space="preserve">业务处室公章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rPr>
            </w:pPr>
            <w:r>
              <w:rPr>
                <w:rFonts w:hint="default"/>
                <w:highlight w:val="none"/>
                <w:lang w:val="en-US" w:eastAsia="zh-CN"/>
              </w:rPr>
              <w:t>□难以建设实施，调整资金用途</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rPr>
            </w:pPr>
            <w:r>
              <w:rPr>
                <w:rFonts w:hint="default"/>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59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39"/>
              <w:bidi w:val="0"/>
              <w:rPr>
                <w:rFonts w:hint="default"/>
                <w:highlight w:val="none"/>
              </w:rPr>
            </w:pPr>
          </w:p>
        </w:tc>
        <w:tc>
          <w:tcPr>
            <w:tcW w:w="258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39"/>
              <w:bidi w:val="0"/>
              <w:rPr>
                <w:rFonts w:hint="default"/>
                <w:highlight w:val="none"/>
                <w:lang w:val="en-US" w:eastAsia="zh-CN"/>
              </w:rPr>
            </w:pPr>
            <w:r>
              <w:rPr>
                <w:rFonts w:hint="default"/>
                <w:highlight w:val="none"/>
                <w:lang w:val="en-US" w:eastAsia="zh-CN"/>
              </w:rPr>
              <w:t>□其他意见</w:t>
            </w:r>
          </w:p>
        </w:tc>
        <w:tc>
          <w:tcPr>
            <w:tcW w:w="1815" w:type="pct"/>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39"/>
              <w:bidi w:val="0"/>
              <w:rPr>
                <w:rFonts w:hint="default"/>
                <w:highlight w:val="none"/>
                <w:lang w:val="en-US" w:eastAsia="zh-CN"/>
              </w:rPr>
            </w:pPr>
            <w:r>
              <w:rPr>
                <w:rFonts w:hint="default"/>
                <w:highlight w:val="none"/>
                <w:lang w:val="en-US" w:eastAsia="zh-CN"/>
              </w:rPr>
              <w:t xml:space="preserve">             年  月  日</w:t>
            </w:r>
          </w:p>
        </w:tc>
      </w:tr>
    </w:tbl>
    <w:p>
      <w:pPr>
        <w:keepNext w:val="0"/>
        <w:keepLines w:val="0"/>
        <w:pageBreakBefore w:val="0"/>
        <w:widowControl/>
        <w:kinsoku w:val="0"/>
        <w:wordWrap/>
        <w:overflowPunct/>
        <w:topLinePunct w:val="0"/>
        <w:autoSpaceDE w:val="0"/>
        <w:autoSpaceDN w:val="0"/>
        <w:bidi w:val="0"/>
        <w:adjustRightInd w:val="0"/>
        <w:snapToGrid/>
        <w:spacing w:line="560" w:lineRule="exact"/>
        <w:ind w:left="0" w:leftChars="0" w:firstLine="0" w:firstLineChars="0"/>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sz w:val="21"/>
          <w:highlight w:val="none"/>
        </w:rPr>
      </w:pPr>
    </w:p>
    <w:p>
      <w:pPr>
        <w:pStyle w:val="39"/>
        <w:pageBreakBefore w:val="0"/>
        <w:wordWrap/>
        <w:overflowPunct/>
        <w:topLinePunct w:val="0"/>
        <w:bidi w:val="0"/>
        <w:snapToGrid/>
        <w:spacing w:line="560" w:lineRule="exact"/>
        <w:rPr>
          <w:rFonts w:hint="default" w:ascii="Times New Roman" w:hAnsi="Times New Roman" w:cs="Times New Roman"/>
          <w:highlight w:val="none"/>
        </w:rPr>
      </w:pPr>
    </w:p>
    <w:p>
      <w:pPr>
        <w:pStyle w:val="39"/>
        <w:pageBreakBefore w:val="0"/>
        <w:wordWrap/>
        <w:overflowPunct/>
        <w:topLinePunct w:val="0"/>
        <w:bidi w:val="0"/>
        <w:snapToGrid/>
        <w:spacing w:line="560" w:lineRule="exact"/>
        <w:rPr>
          <w:rFonts w:hint="default" w:ascii="Times New Roman" w:hAnsi="Times New Roman" w:cs="Times New Roman"/>
          <w:highlight w:val="none"/>
        </w:rPr>
      </w:pPr>
    </w:p>
    <w:p>
      <w:pPr>
        <w:pStyle w:val="39"/>
        <w:pageBreakBefore w:val="0"/>
        <w:wordWrap/>
        <w:overflowPunct/>
        <w:topLinePunct w:val="0"/>
        <w:bidi w:val="0"/>
        <w:snapToGrid/>
        <w:spacing w:line="560" w:lineRule="exact"/>
        <w:rPr>
          <w:rFonts w:hint="default" w:ascii="Times New Roman" w:hAnsi="Times New Roman" w:cs="Times New Roman"/>
          <w:highlight w:val="none"/>
        </w:rPr>
      </w:pPr>
    </w:p>
    <w:p>
      <w:pPr>
        <w:pStyle w:val="39"/>
        <w:pageBreakBefore w:val="0"/>
        <w:wordWrap/>
        <w:overflowPunct/>
        <w:topLinePunct w:val="0"/>
        <w:bidi w:val="0"/>
        <w:snapToGrid/>
        <w:spacing w:line="560" w:lineRule="exact"/>
        <w:rPr>
          <w:rFonts w:hint="default" w:ascii="Times New Roman" w:hAnsi="Times New Roman" w:cs="Times New Roman"/>
          <w:highlight w:val="none"/>
        </w:rPr>
      </w:pPr>
    </w:p>
    <w:p>
      <w:pPr>
        <w:pStyle w:val="39"/>
        <w:pageBreakBefore w:val="0"/>
        <w:wordWrap/>
        <w:overflowPunct/>
        <w:topLinePunct w:val="0"/>
        <w:bidi w:val="0"/>
        <w:snapToGrid/>
        <w:spacing w:line="560" w:lineRule="exact"/>
        <w:rPr>
          <w:rFonts w:hint="default" w:ascii="Times New Roman" w:hAnsi="Times New Roman" w:cs="Times New Roman"/>
          <w:highlight w:val="none"/>
        </w:rPr>
      </w:pPr>
    </w:p>
    <w:p>
      <w:pPr>
        <w:pStyle w:val="39"/>
        <w:pageBreakBefore w:val="0"/>
        <w:wordWrap/>
        <w:overflowPunct/>
        <w:topLinePunct w:val="0"/>
        <w:bidi w:val="0"/>
        <w:snapToGrid/>
        <w:spacing w:line="560" w:lineRule="exact"/>
        <w:rPr>
          <w:rFonts w:hint="default" w:ascii="Times New Roman" w:hAnsi="Times New Roman" w:cs="Times New Roman"/>
          <w:highlight w:val="none"/>
        </w:rPr>
        <w:sectPr>
          <w:footerReference r:id="rId15" w:type="default"/>
          <w:pgSz w:w="16839" w:h="11906" w:orient="landscape"/>
          <w:pgMar w:top="1785" w:right="400" w:bottom="1785" w:left="400" w:header="0" w:footer="340" w:gutter="0"/>
          <w:pgNumType w:fmt="decimal"/>
          <w:cols w:space="720" w:num="1"/>
        </w:sectPr>
      </w:pPr>
    </w:p>
    <w:p>
      <w:pPr>
        <w:pStyle w:val="4"/>
        <w:bidi w:val="0"/>
        <w:ind w:left="0" w:leftChars="0" w:firstLine="0" w:firstLineChars="0"/>
        <w:rPr>
          <w:rFonts w:hint="default"/>
          <w:highlight w:val="none"/>
        </w:rPr>
      </w:pPr>
    </w:p>
    <w:p>
      <w:pPr>
        <w:pageBreakBefore w:val="0"/>
        <w:wordWrap/>
        <w:overflowPunct/>
        <w:topLinePunct w:val="0"/>
        <w:bidi w:val="0"/>
        <w:snapToGrid/>
        <w:spacing w:line="560" w:lineRule="exact"/>
        <w:ind w:left="0" w:leftChars="0" w:firstLine="0" w:firstLineChars="0"/>
        <w:jc w:val="center"/>
        <w:rPr>
          <w:rFonts w:hint="default" w:ascii="Times New Roman" w:hAnsi="Times New Roman" w:eastAsia="仿宋_GB2312" w:cs="Times New Roman"/>
          <w:b/>
          <w:bCs/>
          <w:highlight w:val="none"/>
        </w:rPr>
      </w:pPr>
      <w:bookmarkStart w:id="621" w:name="_Toc946442142"/>
      <w:bookmarkStart w:id="622" w:name="_Toc1991249649"/>
      <w:r>
        <w:rPr>
          <w:rFonts w:hint="default" w:ascii="Times New Roman" w:hAnsi="Times New Roman" w:eastAsia="仿宋_GB2312" w:cs="Times New Roman"/>
          <w:b/>
          <w:bCs/>
          <w:highlight w:val="none"/>
        </w:rPr>
        <w:t>克拉玛依市</w:t>
      </w:r>
      <w:r>
        <w:rPr>
          <w:rFonts w:hint="default" w:ascii="Times New Roman" w:hAnsi="Times New Roman" w:eastAsia="仿宋_GB2312" w:cs="Times New Roman"/>
          <w:b/>
          <w:bCs/>
          <w:highlight w:val="none"/>
          <w:lang w:val="en-US" w:eastAsia="zh-CN"/>
        </w:rPr>
        <w:t>东彩小学</w:t>
      </w:r>
      <w:r>
        <w:rPr>
          <w:rFonts w:hint="default" w:ascii="Times New Roman" w:hAnsi="Times New Roman" w:eastAsia="仿宋_GB2312" w:cs="Times New Roman"/>
          <w:b/>
          <w:bCs/>
          <w:highlight w:val="none"/>
        </w:rPr>
        <w:t>项目绩效评价指标体系及综合评分表</w:t>
      </w:r>
      <w:bookmarkEnd w:id="621"/>
      <w:bookmarkEnd w:id="622"/>
    </w:p>
    <w:tbl>
      <w:tblPr>
        <w:tblStyle w:val="2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5"/>
        <w:gridCol w:w="1248"/>
        <w:gridCol w:w="3201"/>
        <w:gridCol w:w="3017"/>
        <w:gridCol w:w="5250"/>
        <w:gridCol w:w="1137"/>
        <w:gridCol w:w="12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98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92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指标解释</w:t>
            </w:r>
          </w:p>
        </w:tc>
        <w:tc>
          <w:tcPr>
            <w:tcW w:w="161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指标说明</w:t>
            </w:r>
          </w:p>
        </w:tc>
        <w:tc>
          <w:tcPr>
            <w:tcW w:w="34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权重</w:t>
            </w:r>
          </w:p>
        </w:tc>
        <w:tc>
          <w:tcPr>
            <w:tcW w:w="37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2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161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4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3" w:hRule="atLeast"/>
        </w:trPr>
        <w:tc>
          <w:tcPr>
            <w:tcW w:w="36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项目决策（20分）</w:t>
            </w: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项目立项</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立项依据充分性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项目立项是否符合法律法规、相关政策、发展规划以及部门职责，用以反映和考核项目立项依据情况。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评价要点：①项目立项是否符合国家法律法规、国民经济发展规划和相关政策；</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②项目立项是否符合行业发展规划和政策要求；</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③项目立项是否与部门职责范围相符，属于部门履职所需；</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④项目是否属于公共财政支持范围，是否符合中央、地方事权支出责任划分原则；</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⑤项目是否与相关部门同类项目或部门内部相关项目重复。以上每条要素占权重分的1/5，</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6"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立项程序规范性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项目申请、设立过程是否符合相关要求，用以反映和考核项目立项的规范情况。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通用标准①项目是否按照规定的程序申请设立；</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②审批文件、材料是否符合相关要求；</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③事前是否已经过必要的可行性研究、专家论证、风险评估、绩效评估、集体决策。</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以上每条要素占权重分的1/3，每有一条不符合，扣除对应权重分，扣完为止。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9"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w:t>
            </w:r>
          </w:p>
        </w:tc>
        <w:tc>
          <w:tcPr>
            <w:tcW w:w="98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绩效目标合理性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项目所设定的绩效目标是否依据充分，是否符合客观实际，用以反映和考核项目绩效目标与项目实施的相符情况。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评价要点：①项目是否设定绩效目标；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②项目绩效目标与实际工作内容是否具备适用性；</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③项目预期产出效益和效果是否符合正常的业绩水平。</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以上每条要素占权重分的1/3，每有一条不符合，扣除对应权重分，扣完为止。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4"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绩效指标明确性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依据绩效目标设定的绩效指标是否清晰、细化、可衡量等，用以反映和考核项目绩效目标的明细化情况。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评价要点：①是否将项目绩效目标细化、分解为具体的绩效指标；②是否通过清晰、可衡量的指标值予以体现；③是否与项目年度任务数或计划数相对应。</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以上每条要素占权重分的1/3，每有一条不符合，扣除对应权重分，扣完为止。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0"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资金投入</w:t>
            </w:r>
          </w:p>
        </w:tc>
        <w:tc>
          <w:tcPr>
            <w:tcW w:w="98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预算编制科学性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项目预算编制是否经过科学论证、有明确标准，资金额度与年度目标是否相适应，用以反映和考核项目预算编制的科学性、合理性情况。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①预算编制是否经过科学论证；</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②预算内容与项目内容是否匹配；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③预算额度测算依据是否充分，是否按照标准编制；</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④预算确定的项目投资额或资金量是否与工作任务相匹配。</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以上每条要素占权重分的1/4，每有一条不符合，扣除对应权重分，扣完为止。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4"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资金分配合理性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合理</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①预算资金分配依据是否充分；②资金分配额度是否合理，与项目单位或地方实际是否相适应。以上每条要素占权重分的1/2，每有一条不符合，扣除对应权重分，扣完为止。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1" w:hRule="atLeast"/>
        </w:trPr>
        <w:tc>
          <w:tcPr>
            <w:tcW w:w="36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项目管理（20分）</w:t>
            </w: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资金管理</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资金到位率</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实际到位资金与预算资金的比率，用以反映和考核资金落实情况对项目实施的总体保障程度。</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资金到位率=（实际到位资金/预算资金）×100%。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资金到位率达100%得满分，每降低1%扣5%的权重，扣完为止。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9"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预算执行率</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项目预算资金是否按照计划执行，用以反映或考核项目预算执行情况。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预算执行率=（实际支出资金/实际到位资金）×100%。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预算执行率达100%得满分，执行率＜100%,得分=执行率*权重</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0"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资金使用合规性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项目资金使用是否符合相关的财务管理制度规定，用以反映和考核项目资金的规范运行情况。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①是否符合国家财经法规和财务管理制度以及有关专项资金管理办法的规定；</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②资金的拨付是否有完整的审批程序和手续；</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③是否符合项目预算批复或合同规定的用途；</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④是否存在截留、挤占、挪用、虚列支出等情况。以上每条要素占权重分的1/4，每有一条不符合，扣除对应权重分，扣完为止。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4"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管理制度健全性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项目实施单位的财务和业务管理制度是否健全，用以反映和考核财务和业务管理制度对项目顺利实施的保障情况。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①是否已制定或具有相应的财务和业务管理制度；</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②财务和业务管理制度是否合法、合规、完整。</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以上每条要素占权重分的1/2，每有一条不符合，扣除对应权重分，扣完为止。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9"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组织实施</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制度执行有效性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项目实施是否符合相关管理规定，用以反映和考核相关管理制度的有效执行情况。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①是否遵守相关法律法规和相关管理规定；</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②项目调整及支出调整手续是否完备；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③项目合同书、验收报告等资料是否齐全并及时归档；</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④项目实施的人员条件、场地设备、信息支撑等是否落实到位。以上每条要素占权重分的1/4，每有一条不符合，扣除对应权重分，扣完为止。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2"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项目质量可控性</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项目实施单位是否为达到项目质量要求而采取了必需的措施，用以反映和考核项目实施单位对项目质量的控制情</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况。</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①质控措施是否落实，责任主体是否明确（1分）；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②抽查区域内质控工作相关档案是否齐全、规范（2分）</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8"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自评及整改</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是否开展项目自评；项目开始时间至项目完成时间内有关检查反馈的问题是否及时整改。</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评价要点：</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①自评按时完成得（2分）；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②自评质量情况好得l分（0.5分）；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③项目开始时间至项目完成时间内未发现相关问题（0.5分）；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④发现问题未及时整改的，每条问题扣（1分），扣完为止。</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9" w:hRule="atLeast"/>
        </w:trPr>
        <w:tc>
          <w:tcPr>
            <w:tcW w:w="36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项目产出（40分）</w:t>
            </w:r>
          </w:p>
        </w:tc>
        <w:tc>
          <w:tcPr>
            <w:tcW w:w="38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新建（改扩建）学校数量</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项目实施的实际产出数与计划产出数的比率，用以反映和考核项目产出数量目标的实现程度。</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实际完成率=（实际产出数/计划产出数）×100%。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实际产出数：一定时期（本年度或项目期）内项目实际产出的产品或提供的服务数量。</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计划产出数：项目绩效目标确定的在一定时期（本年度或项目期）内计划产出的产品或提供的服务数量。</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5</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2"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主城区普惠性中小学校覆盖率</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主城区普惠性中小学占比，衡量优质教育资源的区域覆盖公平性。</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普惠性学校=公办学校+政府购买学位的民办学校</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覆盖率=(普惠性学校数量÷主城区中小学总数)x100%。　</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计算结果≥95％得满分，每低1个百分点扣1分；存在重大结构安全问题直接0分；</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5</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9"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质量指标</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新建或改造校舍质量达标率</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新建或改造校舍通过工程验收的比率，确保校舍安全合规投入教学使用</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达标率≥90%得满分；每低1个百分点扣1分；存在重大结构安全问题直接0分；</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9"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政府债券资金规范管理使用率</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政府债券资金按规定用途和程序使用的比率，保障资金安全与效益。</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政府债券资金按规定用途和程序使用得满分，截留、挪用或虚报直接0分；</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9"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政府债券资金三个月内形成支出</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政府债券资金到位后三个月内实际支付比率，考核资金拨付时效性。</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政府债券资金到位后三个月内形成支出得满分，若未形成支出得0分，</w:t>
            </w:r>
          </w:p>
        </w:tc>
        <w:tc>
          <w:tcPr>
            <w:tcW w:w="349"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36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项目效益（20分）</w:t>
            </w:r>
          </w:p>
        </w:tc>
        <w:tc>
          <w:tcPr>
            <w:tcW w:w="3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社会效益指标</w:t>
            </w: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义务教育服务能力、水平</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义务教育服务能力、水平</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硬件验收达标后，按设计效果评分；项目未投产的，得分按50%折减；满分10分，未投产时最高得5分。</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3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p>
        </w:tc>
        <w:tc>
          <w:tcPr>
            <w:tcW w:w="98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义务教育关注度、社会影响力</w:t>
            </w:r>
          </w:p>
        </w:tc>
        <w:tc>
          <w:tcPr>
            <w:tcW w:w="927"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义务教育关注度、社会影响力</w:t>
            </w:r>
          </w:p>
        </w:tc>
        <w:tc>
          <w:tcPr>
            <w:tcW w:w="1614"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综合开放日参与率、媒体传播量等举措成效，实现关注度稳步提升得满分；否则视效果递减扣分。</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38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98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合计</w:t>
            </w:r>
          </w:p>
        </w:tc>
        <w:tc>
          <w:tcPr>
            <w:tcW w:w="9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161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w:t>
            </w:r>
          </w:p>
        </w:tc>
        <w:tc>
          <w:tcPr>
            <w:tcW w:w="34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c>
          <w:tcPr>
            <w:tcW w:w="37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39"/>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lang w:val="en-US" w:eastAsia="zh-CN"/>
              </w:rPr>
              <w:t>100</w:t>
            </w:r>
          </w:p>
        </w:tc>
      </w:tr>
    </w:tbl>
    <w:p>
      <w:pPr>
        <w:keepNext w:val="0"/>
        <w:keepLines w:val="0"/>
        <w:pageBreakBefore w:val="0"/>
        <w:widowControl/>
        <w:kinsoku w:val="0"/>
        <w:wordWrap/>
        <w:overflowPunct/>
        <w:topLinePunct w:val="0"/>
        <w:autoSpaceDE w:val="0"/>
        <w:autoSpaceDN w:val="0"/>
        <w:bidi w:val="0"/>
        <w:adjustRightInd w:val="0"/>
        <w:snapToGrid/>
        <w:spacing w:line="560" w:lineRule="exact"/>
        <w:rPr>
          <w:rFonts w:hint="default" w:ascii="Times New Roman" w:hAnsi="Times New Roman" w:eastAsia="仿宋_GB2312" w:cs="Times New Roman"/>
          <w:highlight w:val="none"/>
        </w:rPr>
      </w:pPr>
    </w:p>
    <w:sectPr>
      <w:pgSz w:w="16839" w:h="11906" w:orient="landscape"/>
      <w:pgMar w:top="1785" w:right="400" w:bottom="1785" w:left="400" w:header="0" w:footer="34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2144045-479D-4937-A367-67749867C96A}"/>
  </w:font>
  <w:font w:name="黑体">
    <w:panose1 w:val="02010609060101010101"/>
    <w:charset w:val="86"/>
    <w:family w:val="auto"/>
    <w:pitch w:val="default"/>
    <w:sig w:usb0="800002BF" w:usb1="38CF7CFA" w:usb2="00000016" w:usb3="00000000" w:csb0="00040001" w:csb1="00000000"/>
    <w:embedRegular r:id="rId2" w:fontKey="{66E6FAF2-1CAC-4299-9915-7D00EAF3A11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7710D883-0BE8-4199-A46F-D84B50D2BE52}"/>
  </w:font>
  <w:font w:name="仿宋_GB2312">
    <w:panose1 w:val="02010609030101010101"/>
    <w:charset w:val="86"/>
    <w:family w:val="auto"/>
    <w:pitch w:val="default"/>
    <w:sig w:usb0="00000001" w:usb1="080E0000" w:usb2="00000000" w:usb3="00000000" w:csb0="00040000" w:csb1="00000000"/>
    <w:embedRegular r:id="rId4" w:fontKey="{FFE8BA60-4C5F-48AD-B602-5FAF0BB0453F}"/>
  </w:font>
  <w:font w:name="FangSong_GB2312">
    <w:altName w:val="仿宋_GB2312"/>
    <w:panose1 w:val="02010609030101010101"/>
    <w:charset w:val="86"/>
    <w:family w:val="auto"/>
    <w:pitch w:val="default"/>
    <w:sig w:usb0="00000000" w:usb1="00000000" w:usb2="00000000" w:usb3="00000000" w:csb0="00040000" w:csb1="00000000"/>
    <w:embedRegular r:id="rId5" w:fontKey="{4F777B3F-DD60-44C6-A614-2C6B7BB0559E}"/>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PingFang SC">
    <w:altName w:val="宋体"/>
    <w:panose1 w:val="020B0400000000000000"/>
    <w:charset w:val="86"/>
    <w:family w:val="auto"/>
    <w:pitch w:val="default"/>
    <w:sig w:usb0="00000000" w:usb1="00000000" w:usb2="00000017" w:usb3="00000000" w:csb0="00040001" w:csb1="00000000"/>
  </w:font>
  <w:font w:name="方正仿宋_GB2312">
    <w:panose1 w:val="02000000000000000000"/>
    <w:charset w:val="86"/>
    <w:family w:val="auto"/>
    <w:pitch w:val="default"/>
    <w:sig w:usb0="00000000" w:usb1="00000000" w:usb2="00000000" w:usb3="00000000" w:csb0="00000000" w:csb1="00000000"/>
    <w:embedRegular r:id="rId6" w:fontKey="{1F089994-8529-45D7-ADC0-EB1DABB5F8F3}"/>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0" w:leftChars="0" w:firstLine="0" w:firstLineChars="0"/>
      <w:rPr>
        <w:rFonts w:ascii="Calibri" w:hAnsi="Calibri" w:eastAsia="Calibri" w:cs="Calibri"/>
        <w:sz w:val="30"/>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0" w:leftChars="0" w:firstLine="0" w:firstLineChars="0"/>
      <w:rPr>
        <w:rFonts w:ascii="Calibri" w:hAnsi="Calibri" w:eastAsia="Calibri" w:cs="Calibri"/>
        <w:sz w:val="30"/>
        <w:szCs w:val="30"/>
      </w:rPr>
    </w:pPr>
    <w:r>
      <w:rPr>
        <w:sz w:val="3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ind w:left="0" w:leftChars="0" w:firstLine="0" w:firstLineChars="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0" w:leftChars="0" w:firstLine="0" w:firstLineChars="0"/>
      <w:rPr>
        <w:rFonts w:ascii="Calibri" w:hAnsi="Calibri" w:eastAsia="Calibri" w:cs="Calibri"/>
        <w:sz w:val="30"/>
        <w:szCs w:val="30"/>
      </w:rPr>
    </w:pPr>
    <w:r>
      <w:rPr>
        <w:sz w:val="3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12</w:t>
                    </w:r>
                    <w:r>
                      <w:fldChar w:fldCharType="end"/>
                    </w:r>
                  </w:p>
                </w:txbxContent>
              </v:textbox>
            </v:shape>
          </w:pict>
        </mc:Fallback>
      </mc:AlternateContent>
    </w:r>
    <w:r>
      <w:rPr>
        <w:sz w:val="3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5"/>
                      <w:ind w:left="0" w:leftChars="0" w:firstLine="0" w:firstLineChars="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2" w:lineRule="auto"/>
      <w:ind w:left="3698"/>
      <w:rPr>
        <w:rFonts w:ascii="Calibri" w:hAnsi="Calibri" w:eastAsia="Calibri" w:cs="Calibri"/>
        <w:sz w:val="30"/>
        <w:szCs w:val="30"/>
      </w:rPr>
    </w:pPr>
    <w:r>
      <w:rPr>
        <w:sz w:val="3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3698"/>
      <w:rPr>
        <w:rFonts w:ascii="Calibri" w:hAnsi="Calibri" w:eastAsia="Calibri" w:cs="Calibri"/>
        <w:sz w:val="30"/>
        <w:szCs w:val="30"/>
      </w:rPr>
    </w:pPr>
    <w:r>
      <w:rPr>
        <w:sz w:val="3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5408" behindDoc="0" locked="0" layoutInCell="1" allowOverlap="1">
              <wp:simplePos x="0" y="0"/>
              <wp:positionH relativeFrom="margin">
                <wp:posOffset>2472055</wp:posOffset>
              </wp:positionH>
              <wp:positionV relativeFrom="paragraph">
                <wp:posOffset>-504190</wp:posOffset>
              </wp:positionV>
              <wp:extent cx="349250" cy="51435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49250" cy="514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4.65pt;margin-top:-39.7pt;height:40.5pt;width:27.5pt;mso-position-horizontal-relative:margin;z-index:251665408;mso-width-relative:page;mso-height-relative:page;" filled="f" stroked="f" coordsize="21600,21600" o:gfxdata="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MO2y9gAAAAJAQAADwAAAAAAAAABACAAAAAiAAAAZHJzL2Rvd25yZXYu&#10;eG1sUEsBAhQAFAAAAAgAh07iQIS8rV00AgAAYwQAAA4AAAAAAAAAAQAgAAAAJwEAAGRycy9lMm9E&#10;b2MueG1sUEsFBgAAAAAGAAYAWQEAAM0FAAAAAA==&#10;">
              <v:fill on="f" focussize="0,0"/>
              <v:stroke on="f" weight="0.5pt"/>
              <v:imagedata o:title=""/>
              <o:lock v:ext="edit" aspectratio="f"/>
              <v:textbox inset="0mm,0mm,0mm,0mm">
                <w:txbxContent>
                  <w:p>
                    <w:pPr>
                      <w:pStyle w:val="15"/>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6432" behindDoc="0" locked="0" layoutInCell="1" allowOverlap="1">
              <wp:simplePos x="0" y="0"/>
              <wp:positionH relativeFrom="margin">
                <wp:posOffset>4586605</wp:posOffset>
              </wp:positionH>
              <wp:positionV relativeFrom="page">
                <wp:posOffset>6677025</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61.15pt;margin-top:525.75pt;height:144pt;width:144pt;mso-position-horizontal-relative:margin;mso-position-vertical-relative:page;mso-wrap-style:none;z-index:251666432;mso-width-relative:page;mso-height-relative:page;" filled="f" stroked="f" coordsize="21600,21600" o:gfxdata="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S7QWg2QAAAA4BAAAPAAAAAAAAAAEAIAAAACIAAABkcnMvZG93bnJldi54&#10;bWxQSwECFAAUAAAACACHTuJALlZmfjICAABjBAAADgAAAAAAAAABACAAAAAoAQAAZHJzL2Uyb0Rv&#10;Yy54bWxQSwUGAAAAAAYABgBZAQAAzA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BB222"/>
    <w:multiLevelType w:val="singleLevel"/>
    <w:tmpl w:val="8F5BB222"/>
    <w:lvl w:ilvl="0" w:tentative="0">
      <w:start w:val="6"/>
      <w:numFmt w:val="chineseCounting"/>
      <w:suff w:val="nothing"/>
      <w:lvlText w:val="%1、"/>
      <w:lvlJc w:val="left"/>
      <w:rPr>
        <w:rFonts w:hint="eastAsia"/>
      </w:rPr>
    </w:lvl>
  </w:abstractNum>
  <w:abstractNum w:abstractNumId="1">
    <w:nsid w:val="BBEF49FA"/>
    <w:multiLevelType w:val="singleLevel"/>
    <w:tmpl w:val="BBEF49FA"/>
    <w:lvl w:ilvl="0" w:tentative="0">
      <w:start w:val="2"/>
      <w:numFmt w:val="chineseCounting"/>
      <w:suff w:val="nothing"/>
      <w:lvlText w:val="（%1）"/>
      <w:lvlJc w:val="left"/>
      <w:rPr>
        <w:rFonts w:hint="eastAsia"/>
      </w:rPr>
    </w:lvl>
  </w:abstractNum>
  <w:abstractNum w:abstractNumId="2">
    <w:nsid w:val="BDE60B15"/>
    <w:multiLevelType w:val="singleLevel"/>
    <w:tmpl w:val="BDE60B15"/>
    <w:lvl w:ilvl="0" w:tentative="0">
      <w:start w:val="1"/>
      <w:numFmt w:val="chineseCounting"/>
      <w:suff w:val="nothing"/>
      <w:lvlText w:val="（%1）"/>
      <w:lvlJc w:val="left"/>
      <w:rPr>
        <w:rFonts w:hint="eastAsia"/>
      </w:rPr>
    </w:lvl>
  </w:abstractNum>
  <w:abstractNum w:abstractNumId="3">
    <w:nsid w:val="D9A1BABB"/>
    <w:multiLevelType w:val="singleLevel"/>
    <w:tmpl w:val="D9A1BABB"/>
    <w:lvl w:ilvl="0" w:tentative="0">
      <w:start w:val="1"/>
      <w:numFmt w:val="decimal"/>
      <w:suff w:val="space"/>
      <w:lvlText w:val="%1."/>
      <w:lvlJc w:val="left"/>
    </w:lvl>
  </w:abstractNum>
  <w:abstractNum w:abstractNumId="4">
    <w:nsid w:val="DCFE94D5"/>
    <w:multiLevelType w:val="singleLevel"/>
    <w:tmpl w:val="DCFE94D5"/>
    <w:lvl w:ilvl="0" w:tentative="0">
      <w:start w:val="2"/>
      <w:numFmt w:val="chineseCounting"/>
      <w:suff w:val="nothing"/>
      <w:lvlText w:val="%1、"/>
      <w:lvlJc w:val="left"/>
      <w:rPr>
        <w:rFonts w:hint="eastAsia"/>
      </w:rPr>
    </w:lvl>
  </w:abstractNum>
  <w:abstractNum w:abstractNumId="5">
    <w:nsid w:val="EA48C6A2"/>
    <w:multiLevelType w:val="singleLevel"/>
    <w:tmpl w:val="EA48C6A2"/>
    <w:lvl w:ilvl="0" w:tentative="0">
      <w:start w:val="1"/>
      <w:numFmt w:val="chineseCounting"/>
      <w:suff w:val="nothing"/>
      <w:lvlText w:val="（%1）"/>
      <w:lvlJc w:val="left"/>
      <w:rPr>
        <w:rFonts w:hint="eastAsia"/>
      </w:rPr>
    </w:lvl>
  </w:abstractNum>
  <w:abstractNum w:abstractNumId="6">
    <w:nsid w:val="FDECED05"/>
    <w:multiLevelType w:val="singleLevel"/>
    <w:tmpl w:val="FDECED05"/>
    <w:lvl w:ilvl="0" w:tentative="0">
      <w:start w:val="2"/>
      <w:numFmt w:val="decimal"/>
      <w:suff w:val="space"/>
      <w:lvlText w:val="%1."/>
      <w:lvlJc w:val="left"/>
    </w:lvl>
  </w:abstractNum>
  <w:abstractNum w:abstractNumId="7">
    <w:nsid w:val="0515ED15"/>
    <w:multiLevelType w:val="singleLevel"/>
    <w:tmpl w:val="0515ED15"/>
    <w:lvl w:ilvl="0" w:tentative="0">
      <w:start w:val="2"/>
      <w:numFmt w:val="decimal"/>
      <w:suff w:val="space"/>
      <w:lvlText w:val="%1."/>
      <w:lvlJc w:val="left"/>
    </w:lvl>
  </w:abstractNum>
  <w:abstractNum w:abstractNumId="8">
    <w:nsid w:val="12E77505"/>
    <w:multiLevelType w:val="singleLevel"/>
    <w:tmpl w:val="12E77505"/>
    <w:lvl w:ilvl="0" w:tentative="0">
      <w:start w:val="2"/>
      <w:numFmt w:val="chineseCounting"/>
      <w:suff w:val="nothing"/>
      <w:lvlText w:val="（%1）"/>
      <w:lvlJc w:val="left"/>
      <w:rPr>
        <w:rFonts w:hint="eastAsia"/>
      </w:rPr>
    </w:lvl>
  </w:abstractNum>
  <w:abstractNum w:abstractNumId="9">
    <w:nsid w:val="33DF682E"/>
    <w:multiLevelType w:val="singleLevel"/>
    <w:tmpl w:val="33DF682E"/>
    <w:lvl w:ilvl="0" w:tentative="0">
      <w:start w:val="2"/>
      <w:numFmt w:val="decimal"/>
      <w:suff w:val="space"/>
      <w:lvlText w:val="%1."/>
      <w:lvlJc w:val="left"/>
    </w:lvl>
  </w:abstractNum>
  <w:abstractNum w:abstractNumId="10">
    <w:nsid w:val="43D1B51C"/>
    <w:multiLevelType w:val="singleLevel"/>
    <w:tmpl w:val="43D1B51C"/>
    <w:lvl w:ilvl="0" w:tentative="0">
      <w:start w:val="1"/>
      <w:numFmt w:val="decimal"/>
      <w:suff w:val="space"/>
      <w:lvlText w:val="%1."/>
      <w:lvlJc w:val="left"/>
    </w:lvl>
  </w:abstractNum>
  <w:abstractNum w:abstractNumId="11">
    <w:nsid w:val="7E86076B"/>
    <w:multiLevelType w:val="singleLevel"/>
    <w:tmpl w:val="7E86076B"/>
    <w:lvl w:ilvl="0" w:tentative="0">
      <w:start w:val="2"/>
      <w:numFmt w:val="decimal"/>
      <w:suff w:val="space"/>
      <w:lvlText w:val="%1."/>
      <w:lvlJc w:val="left"/>
    </w:lvl>
  </w:abstractNum>
  <w:num w:numId="1">
    <w:abstractNumId w:val="2"/>
  </w:num>
  <w:num w:numId="2">
    <w:abstractNumId w:val="10"/>
  </w:num>
  <w:num w:numId="3">
    <w:abstractNumId w:val="4"/>
  </w:num>
  <w:num w:numId="4">
    <w:abstractNumId w:val="1"/>
  </w:num>
  <w:num w:numId="5">
    <w:abstractNumId w:val="6"/>
  </w:num>
  <w:num w:numId="6">
    <w:abstractNumId w:val="9"/>
  </w:num>
  <w:num w:numId="7">
    <w:abstractNumId w:val="11"/>
  </w:num>
  <w:num w:numId="8">
    <w:abstractNumId w:val="7"/>
  </w:num>
  <w:num w:numId="9">
    <w:abstractNumId w:val="3"/>
  </w:num>
  <w:num w:numId="10">
    <w:abstractNumId w:val="8"/>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ZDc2ZmIyYTAyMjZhOTAzMjZjMDNlYmE5ZTk4NDYifQ=="/>
  </w:docVars>
  <w:rsids>
    <w:rsidRoot w:val="FFF56D54"/>
    <w:rsid w:val="00BD4DDB"/>
    <w:rsid w:val="013E483C"/>
    <w:rsid w:val="027B5677"/>
    <w:rsid w:val="02D250E4"/>
    <w:rsid w:val="03BB0131"/>
    <w:rsid w:val="04FF6FAC"/>
    <w:rsid w:val="05327BB3"/>
    <w:rsid w:val="078C0A43"/>
    <w:rsid w:val="088766C0"/>
    <w:rsid w:val="08E7FCD5"/>
    <w:rsid w:val="0A0B3025"/>
    <w:rsid w:val="0A722A8C"/>
    <w:rsid w:val="0B5D5D32"/>
    <w:rsid w:val="0BA8658D"/>
    <w:rsid w:val="0C0B3106"/>
    <w:rsid w:val="0C143E1C"/>
    <w:rsid w:val="0C2E77CF"/>
    <w:rsid w:val="0D0454AF"/>
    <w:rsid w:val="0D68743B"/>
    <w:rsid w:val="0DDA586D"/>
    <w:rsid w:val="0EE57119"/>
    <w:rsid w:val="0F3B7BF6"/>
    <w:rsid w:val="0F666287"/>
    <w:rsid w:val="0F7A4C0C"/>
    <w:rsid w:val="0FDA6269"/>
    <w:rsid w:val="10E64D7C"/>
    <w:rsid w:val="119226B1"/>
    <w:rsid w:val="11BB4B40"/>
    <w:rsid w:val="11D940DC"/>
    <w:rsid w:val="1254585C"/>
    <w:rsid w:val="12851713"/>
    <w:rsid w:val="139F192B"/>
    <w:rsid w:val="158F5231"/>
    <w:rsid w:val="188B085B"/>
    <w:rsid w:val="19803488"/>
    <w:rsid w:val="1BFB3B12"/>
    <w:rsid w:val="1D792624"/>
    <w:rsid w:val="1E6836B5"/>
    <w:rsid w:val="1F733F45"/>
    <w:rsid w:val="201D088D"/>
    <w:rsid w:val="22B96C38"/>
    <w:rsid w:val="24932C10"/>
    <w:rsid w:val="25094241"/>
    <w:rsid w:val="251175E6"/>
    <w:rsid w:val="26DC30FE"/>
    <w:rsid w:val="277A13FE"/>
    <w:rsid w:val="279A6C27"/>
    <w:rsid w:val="288030B2"/>
    <w:rsid w:val="28CF4387"/>
    <w:rsid w:val="29104A1C"/>
    <w:rsid w:val="2A136AD4"/>
    <w:rsid w:val="2AC10639"/>
    <w:rsid w:val="2C7C7324"/>
    <w:rsid w:val="2C924D94"/>
    <w:rsid w:val="2C950725"/>
    <w:rsid w:val="302E0DBE"/>
    <w:rsid w:val="32440249"/>
    <w:rsid w:val="325B329B"/>
    <w:rsid w:val="34696C56"/>
    <w:rsid w:val="354C7534"/>
    <w:rsid w:val="36F105D8"/>
    <w:rsid w:val="36F229EA"/>
    <w:rsid w:val="38875F98"/>
    <w:rsid w:val="38FE3A52"/>
    <w:rsid w:val="3A2C6C22"/>
    <w:rsid w:val="3C6D73A0"/>
    <w:rsid w:val="3DBB4A81"/>
    <w:rsid w:val="3ECA0B19"/>
    <w:rsid w:val="3FBF1215"/>
    <w:rsid w:val="40203D03"/>
    <w:rsid w:val="41F351DB"/>
    <w:rsid w:val="42091CF0"/>
    <w:rsid w:val="42156179"/>
    <w:rsid w:val="42B53118"/>
    <w:rsid w:val="42E47C90"/>
    <w:rsid w:val="43552776"/>
    <w:rsid w:val="44D1265A"/>
    <w:rsid w:val="45190505"/>
    <w:rsid w:val="46EF0D71"/>
    <w:rsid w:val="477C3A74"/>
    <w:rsid w:val="47EC60E1"/>
    <w:rsid w:val="48907E6B"/>
    <w:rsid w:val="48984576"/>
    <w:rsid w:val="48AA4BAA"/>
    <w:rsid w:val="4905637A"/>
    <w:rsid w:val="49287BFF"/>
    <w:rsid w:val="4A4654A2"/>
    <w:rsid w:val="4D9D0257"/>
    <w:rsid w:val="4E2D3038"/>
    <w:rsid w:val="4F870489"/>
    <w:rsid w:val="52053361"/>
    <w:rsid w:val="520D67B5"/>
    <w:rsid w:val="52842BD7"/>
    <w:rsid w:val="53E43BE9"/>
    <w:rsid w:val="540006A2"/>
    <w:rsid w:val="56002BDB"/>
    <w:rsid w:val="57D14D93"/>
    <w:rsid w:val="57DFB70B"/>
    <w:rsid w:val="593A35D3"/>
    <w:rsid w:val="599C5EFE"/>
    <w:rsid w:val="59FE827B"/>
    <w:rsid w:val="5A8A42C7"/>
    <w:rsid w:val="5ADA1C4D"/>
    <w:rsid w:val="5B146C1D"/>
    <w:rsid w:val="5BEB5789"/>
    <w:rsid w:val="5E256A05"/>
    <w:rsid w:val="5EAB6030"/>
    <w:rsid w:val="5ECA2E84"/>
    <w:rsid w:val="5EF6F215"/>
    <w:rsid w:val="5F08300D"/>
    <w:rsid w:val="5F737390"/>
    <w:rsid w:val="620B04C0"/>
    <w:rsid w:val="62E02540"/>
    <w:rsid w:val="63242095"/>
    <w:rsid w:val="635B6478"/>
    <w:rsid w:val="64B15949"/>
    <w:rsid w:val="664178CD"/>
    <w:rsid w:val="673C2FC8"/>
    <w:rsid w:val="69F17C7C"/>
    <w:rsid w:val="6A905EA7"/>
    <w:rsid w:val="6B7BE3C3"/>
    <w:rsid w:val="6C61150E"/>
    <w:rsid w:val="6EFA6397"/>
    <w:rsid w:val="6F7044D6"/>
    <w:rsid w:val="6F895DAB"/>
    <w:rsid w:val="6FBF1B87"/>
    <w:rsid w:val="6FBFAECA"/>
    <w:rsid w:val="704C0A9F"/>
    <w:rsid w:val="70CB5E68"/>
    <w:rsid w:val="73485852"/>
    <w:rsid w:val="734B765F"/>
    <w:rsid w:val="738E73ED"/>
    <w:rsid w:val="73905E1C"/>
    <w:rsid w:val="73ED9C64"/>
    <w:rsid w:val="73F376C0"/>
    <w:rsid w:val="73FDED64"/>
    <w:rsid w:val="76064D81"/>
    <w:rsid w:val="76DB697E"/>
    <w:rsid w:val="783E4639"/>
    <w:rsid w:val="7914339E"/>
    <w:rsid w:val="793824A0"/>
    <w:rsid w:val="79FE94D0"/>
    <w:rsid w:val="7AAC430C"/>
    <w:rsid w:val="7AFC3355"/>
    <w:rsid w:val="7C851602"/>
    <w:rsid w:val="7EFCBA88"/>
    <w:rsid w:val="7FFF4D13"/>
    <w:rsid w:val="9F7E2FD2"/>
    <w:rsid w:val="A7FFCDB3"/>
    <w:rsid w:val="AFBDC392"/>
    <w:rsid w:val="BF3B2CA7"/>
    <w:rsid w:val="D7FE83D0"/>
    <w:rsid w:val="DDF5A459"/>
    <w:rsid w:val="DDFF11E5"/>
    <w:rsid w:val="DF7F3EF3"/>
    <w:rsid w:val="E6F7ACE7"/>
    <w:rsid w:val="E77FD04E"/>
    <w:rsid w:val="EBC356FB"/>
    <w:rsid w:val="EEF7635E"/>
    <w:rsid w:val="EFDE3F8B"/>
    <w:rsid w:val="F2F52AA9"/>
    <w:rsid w:val="F66D7BDB"/>
    <w:rsid w:val="FBDBBCFD"/>
    <w:rsid w:val="FDEF003D"/>
    <w:rsid w:val="FFAF42F9"/>
    <w:rsid w:val="FFAF69CE"/>
    <w:rsid w:val="FFBF65D6"/>
    <w:rsid w:val="FFF56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before="120" w:line="560" w:lineRule="exact"/>
      <w:ind w:firstLine="620" w:firstLineChars="200"/>
      <w:jc w:val="both"/>
      <w:textAlignment w:val="baseline"/>
    </w:pPr>
    <w:rPr>
      <w:rFonts w:ascii="仿宋_GB2312" w:hAnsi="仿宋_GB2312" w:eastAsia="仿宋_GB2312" w:cs="仿宋_GB2312"/>
      <w:snapToGrid w:val="0"/>
      <w:color w:val="000000"/>
      <w:kern w:val="0"/>
      <w:sz w:val="32"/>
      <w:szCs w:val="21"/>
      <w:lang w:val="en-US" w:eastAsia="en-US" w:bidi="ar-SA"/>
    </w:rPr>
  </w:style>
  <w:style w:type="paragraph" w:styleId="3">
    <w:name w:val="heading 1"/>
    <w:next w:val="1"/>
    <w:link w:val="24"/>
    <w:qFormat/>
    <w:uiPriority w:val="0"/>
    <w:pPr>
      <w:widowControl w:val="0"/>
      <w:spacing w:before="184" w:line="560" w:lineRule="exact"/>
      <w:ind w:left="669"/>
      <w:jc w:val="both"/>
      <w:outlineLvl w:val="0"/>
    </w:pPr>
    <w:rPr>
      <w:rFonts w:ascii="FangSong_GB2312" w:hAnsi="FangSong_GB2312" w:eastAsia="黑体" w:cs="黑体"/>
      <w:spacing w:val="6"/>
      <w:kern w:val="2"/>
      <w:sz w:val="32"/>
      <w:szCs w:val="31"/>
      <w:lang w:bidi="ar-SA"/>
    </w:rPr>
  </w:style>
  <w:style w:type="paragraph" w:styleId="4">
    <w:name w:val="heading 2"/>
    <w:next w:val="1"/>
    <w:unhideWhenUsed/>
    <w:qFormat/>
    <w:uiPriority w:val="0"/>
    <w:pPr>
      <w:widowControl w:val="0"/>
      <w:spacing w:before="184" w:line="560" w:lineRule="exact"/>
      <w:ind w:left="0" w:firstLine="640" w:firstLineChars="200"/>
      <w:jc w:val="both"/>
      <w:outlineLvl w:val="1"/>
    </w:pPr>
    <w:rPr>
      <w:rFonts w:ascii="楷体" w:hAnsi="楷体" w:eastAsia="楷体" w:cs="楷体"/>
      <w:b/>
      <w:spacing w:val="6"/>
      <w:kern w:val="2"/>
      <w:sz w:val="32"/>
      <w:szCs w:val="32"/>
      <w:lang w:bidi="ar-SA"/>
    </w:rPr>
  </w:style>
  <w:style w:type="paragraph" w:styleId="5">
    <w:name w:val="heading 3"/>
    <w:next w:val="1"/>
    <w:link w:val="40"/>
    <w:unhideWhenUsed/>
    <w:qFormat/>
    <w:uiPriority w:val="0"/>
    <w:pPr>
      <w:widowControl w:val="0"/>
      <w:spacing w:before="182" w:line="224" w:lineRule="auto"/>
      <w:ind w:left="0" w:firstLine="640" w:firstLineChars="200"/>
      <w:jc w:val="both"/>
      <w:outlineLvl w:val="2"/>
    </w:pPr>
    <w:rPr>
      <w:rFonts w:ascii="FangSong_GB2312" w:hAnsi="FangSong_GB2312" w:eastAsia="FangSong_GB2312" w:cs="Times New Roman"/>
      <w:b/>
      <w:spacing w:val="-1"/>
      <w:kern w:val="2"/>
      <w:sz w:val="32"/>
      <w:szCs w:val="31"/>
      <w:lang w:bidi="ar-SA"/>
    </w:rPr>
  </w:style>
  <w:style w:type="paragraph" w:styleId="6">
    <w:name w:val="heading 4"/>
    <w:next w:val="1"/>
    <w:link w:val="41"/>
    <w:unhideWhenUsed/>
    <w:qFormat/>
    <w:uiPriority w:val="0"/>
    <w:pPr>
      <w:keepNext/>
      <w:keepLines/>
      <w:widowControl w:val="0"/>
      <w:adjustRightInd w:val="0"/>
      <w:spacing w:before="100" w:after="100" w:line="560" w:lineRule="exact"/>
      <w:ind w:firstLine="640" w:firstLineChars="200"/>
      <w:jc w:val="both"/>
      <w:outlineLvl w:val="3"/>
    </w:pPr>
    <w:rPr>
      <w:rFonts w:ascii="Times New Roman" w:hAnsi="Times New Roman" w:eastAsia="FangSong_GB2312" w:cs="Times New Roman"/>
      <w:b/>
      <w:bCs/>
      <w:kern w:val="2"/>
      <w:sz w:val="28"/>
      <w:szCs w:val="28"/>
      <w:lang w:bidi="ar-SA"/>
    </w:rPr>
  </w:style>
  <w:style w:type="paragraph" w:styleId="7">
    <w:name w:val="heading 5"/>
    <w:next w:val="1"/>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8">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9">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10">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1">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2">
    <w:name w:val="TableOfAuthoring"/>
    <w:basedOn w:val="1"/>
    <w:next w:val="1"/>
    <w:qFormat/>
    <w:uiPriority w:val="0"/>
    <w:pPr>
      <w:ind w:left="420" w:leftChars="200"/>
      <w:textAlignment w:val="baseline"/>
    </w:pPr>
    <w:rPr>
      <w:rFonts w:ascii="Calibri" w:hAnsi="Calibri" w:eastAsia="宋体"/>
    </w:rPr>
  </w:style>
  <w:style w:type="paragraph" w:styleId="12">
    <w:name w:val="annotation text"/>
    <w:basedOn w:val="1"/>
    <w:qFormat/>
    <w:uiPriority w:val="0"/>
    <w:pPr>
      <w:jc w:val="left"/>
    </w:pPr>
  </w:style>
  <w:style w:type="paragraph" w:styleId="13">
    <w:name w:val="Body Text"/>
    <w:qFormat/>
    <w:uiPriority w:val="0"/>
    <w:pPr>
      <w:widowControl w:val="0"/>
      <w:spacing w:before="101" w:line="333" w:lineRule="auto"/>
      <w:ind w:left="126" w:right="16" w:firstLine="642"/>
      <w:jc w:val="both"/>
      <w:outlineLvl w:val="9"/>
    </w:pPr>
    <w:rPr>
      <w:rFonts w:ascii="仿宋" w:hAnsi="Calibri" w:eastAsia="仿宋" w:cs="Times New Roman"/>
      <w:spacing w:val="8"/>
      <w:sz w:val="31"/>
    </w:rPr>
  </w:style>
  <w:style w:type="paragraph" w:styleId="14">
    <w:name w:val="toc 3"/>
    <w:basedOn w:val="1"/>
    <w:next w:val="1"/>
    <w:qFormat/>
    <w:uiPriority w:val="0"/>
    <w:pPr>
      <w:ind w:left="840" w:leftChars="400"/>
    </w:pPr>
  </w:style>
  <w:style w:type="paragraph" w:styleId="15">
    <w:name w:val="footer"/>
    <w:basedOn w:val="1"/>
    <w:qFormat/>
    <w:uiPriority w:val="0"/>
    <w:pPr>
      <w:tabs>
        <w:tab w:val="center" w:pos="4153"/>
        <w:tab w:val="right" w:pos="8306"/>
      </w:tabs>
      <w:snapToGrid w:val="0"/>
      <w:jc w:val="left"/>
    </w:pPr>
    <w:rPr>
      <w:sz w:val="18"/>
    </w:rPr>
  </w:style>
  <w:style w:type="paragraph" w:styleId="16">
    <w:name w:val="toc 1"/>
    <w:basedOn w:val="1"/>
    <w:next w:val="1"/>
    <w:qFormat/>
    <w:uiPriority w:val="0"/>
  </w:style>
  <w:style w:type="paragraph" w:styleId="17">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8">
    <w:name w:val="toc 2"/>
    <w:basedOn w:val="1"/>
    <w:next w:val="1"/>
    <w:qFormat/>
    <w:uiPriority w:val="0"/>
    <w:pPr>
      <w:ind w:left="420" w:leftChars="200"/>
    </w:pPr>
  </w:style>
  <w:style w:type="paragraph" w:styleId="19">
    <w:name w:val="Normal (Web)"/>
    <w:basedOn w:val="1"/>
    <w:qFormat/>
    <w:uiPriority w:val="0"/>
    <w:rPr>
      <w:sz w:val="24"/>
    </w:rPr>
  </w:style>
  <w:style w:type="paragraph" w:styleId="20">
    <w:name w:val="Title"/>
    <w:qFormat/>
    <w:uiPriority w:val="0"/>
    <w:pPr>
      <w:widowControl w:val="0"/>
      <w:spacing w:before="169" w:line="199" w:lineRule="auto"/>
      <w:jc w:val="both"/>
      <w:outlineLvl w:val="9"/>
    </w:pPr>
    <w:rPr>
      <w:rFonts w:ascii="黑体" w:hAnsi="黑体" w:eastAsia="黑体" w:cs="黑体"/>
      <w:b/>
      <w:spacing w:val="-15"/>
      <w:kern w:val="2"/>
      <w:sz w:val="52"/>
      <w:szCs w:val="52"/>
      <w:lang w:bidi="ar-SA"/>
    </w:rPr>
  </w:style>
  <w:style w:type="character" w:styleId="23">
    <w:name w:val="Strong"/>
    <w:basedOn w:val="22"/>
    <w:qFormat/>
    <w:uiPriority w:val="0"/>
    <w:rPr>
      <w:b/>
    </w:rPr>
  </w:style>
  <w:style w:type="character" w:customStyle="1" w:styleId="24">
    <w:name w:val="标题 1 Char"/>
    <w:link w:val="3"/>
    <w:qFormat/>
    <w:uiPriority w:val="0"/>
    <w:rPr>
      <w:rFonts w:ascii="FangSong_GB2312" w:hAnsi="FangSong_GB2312" w:eastAsia="黑体" w:cs="黑体"/>
      <w:spacing w:val="6"/>
      <w:kern w:val="2"/>
      <w:sz w:val="32"/>
      <w:szCs w:val="31"/>
      <w:lang w:bidi="ar-SA"/>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仿宋" w:hAnsi="仿宋" w:eastAsia="仿宋" w:cs="仿宋"/>
      <w:sz w:val="20"/>
      <w:szCs w:val="20"/>
      <w:lang w:val="en-US" w:eastAsia="en-US" w:bidi="ar-SA"/>
    </w:rPr>
  </w:style>
  <w:style w:type="character" w:customStyle="1" w:styleId="27">
    <w:name w:val="font11"/>
    <w:basedOn w:val="22"/>
    <w:qFormat/>
    <w:uiPriority w:val="0"/>
    <w:rPr>
      <w:rFonts w:hint="eastAsia" w:ascii="宋体" w:hAnsi="宋体" w:eastAsia="宋体" w:cs="宋体"/>
      <w:b/>
      <w:bCs/>
      <w:color w:val="000000"/>
      <w:sz w:val="19"/>
      <w:szCs w:val="19"/>
      <w:u w:val="none"/>
    </w:rPr>
  </w:style>
  <w:style w:type="character" w:customStyle="1" w:styleId="28">
    <w:name w:val="font31"/>
    <w:basedOn w:val="22"/>
    <w:qFormat/>
    <w:uiPriority w:val="0"/>
    <w:rPr>
      <w:rFonts w:hint="eastAsia" w:ascii="宋体" w:hAnsi="宋体" w:eastAsia="宋体" w:cs="宋体"/>
      <w:color w:val="000000"/>
      <w:sz w:val="22"/>
      <w:szCs w:val="22"/>
      <w:u w:val="none"/>
    </w:rPr>
  </w:style>
  <w:style w:type="character" w:customStyle="1" w:styleId="29">
    <w:name w:val="font151"/>
    <w:basedOn w:val="22"/>
    <w:qFormat/>
    <w:uiPriority w:val="0"/>
    <w:rPr>
      <w:rFonts w:ascii="PingFang SC" w:hAnsi="PingFang SC" w:eastAsia="PingFang SC" w:cs="PingFang SC"/>
      <w:color w:val="000000"/>
      <w:sz w:val="22"/>
      <w:szCs w:val="22"/>
      <w:u w:val="none"/>
    </w:rPr>
  </w:style>
  <w:style w:type="character" w:customStyle="1" w:styleId="30">
    <w:name w:val="font91"/>
    <w:basedOn w:val="22"/>
    <w:qFormat/>
    <w:uiPriority w:val="0"/>
    <w:rPr>
      <w:rFonts w:hint="eastAsia" w:ascii="宋体" w:hAnsi="宋体" w:eastAsia="宋体" w:cs="宋体"/>
      <w:color w:val="000000"/>
      <w:sz w:val="19"/>
      <w:szCs w:val="19"/>
      <w:u w:val="none"/>
    </w:rPr>
  </w:style>
  <w:style w:type="character" w:customStyle="1" w:styleId="31">
    <w:name w:val="font01"/>
    <w:basedOn w:val="22"/>
    <w:qFormat/>
    <w:uiPriority w:val="0"/>
    <w:rPr>
      <w:rFonts w:hint="eastAsia" w:ascii="宋体" w:hAnsi="宋体" w:eastAsia="宋体" w:cs="宋体"/>
      <w:color w:val="000000"/>
      <w:sz w:val="22"/>
      <w:szCs w:val="22"/>
      <w:u w:val="none"/>
    </w:rPr>
  </w:style>
  <w:style w:type="paragraph" w:customStyle="1" w:styleId="32">
    <w:name w:val="正文 New New New New"/>
    <w:basedOn w:val="1"/>
    <w:qFormat/>
    <w:uiPriority w:val="0"/>
    <w:rPr>
      <w:rFonts w:ascii="Times New Roman" w:hAnsi="Times New Roman" w:eastAsia="宋体" w:cs="黑体"/>
      <w:szCs w:val="21"/>
    </w:rPr>
  </w:style>
  <w:style w:type="character" w:customStyle="1" w:styleId="33">
    <w:name w:val="font71"/>
    <w:basedOn w:val="22"/>
    <w:qFormat/>
    <w:uiPriority w:val="0"/>
    <w:rPr>
      <w:rFonts w:hint="eastAsia" w:ascii="宋体" w:hAnsi="宋体" w:eastAsia="宋体" w:cs="宋体"/>
      <w:color w:val="000000"/>
      <w:sz w:val="24"/>
      <w:szCs w:val="24"/>
      <w:u w:val="none"/>
    </w:rPr>
  </w:style>
  <w:style w:type="character" w:customStyle="1" w:styleId="34">
    <w:name w:val="font21"/>
    <w:basedOn w:val="22"/>
    <w:qFormat/>
    <w:uiPriority w:val="0"/>
    <w:rPr>
      <w:rFonts w:hint="eastAsia" w:ascii="宋体" w:hAnsi="宋体" w:eastAsia="宋体" w:cs="宋体"/>
      <w:color w:val="000000"/>
      <w:sz w:val="24"/>
      <w:szCs w:val="24"/>
      <w:u w:val="none"/>
    </w:rPr>
  </w:style>
  <w:style w:type="paragraph" w:customStyle="1" w:styleId="35">
    <w:name w:val="摘要正文"/>
    <w:next w:val="1"/>
    <w:qFormat/>
    <w:uiPriority w:val="0"/>
    <w:pPr>
      <w:widowControl w:val="0"/>
      <w:adjustRightInd w:val="0"/>
      <w:spacing w:before="100" w:after="100" w:afterLines="0" w:line="300" w:lineRule="auto"/>
      <w:ind w:firstLine="1044" w:firstLineChars="200"/>
      <w:jc w:val="both"/>
    </w:pPr>
    <w:rPr>
      <w:rFonts w:ascii="Times New Roman" w:hAnsi="Times New Roman" w:eastAsia="宋体" w:cs="Times New Roman"/>
      <w:kern w:val="2"/>
      <w:sz w:val="24"/>
      <w:szCs w:val="24"/>
      <w:lang w:bidi="ar-SA"/>
    </w:rPr>
  </w:style>
  <w:style w:type="paragraph" w:customStyle="1" w:styleId="36">
    <w:name w:val="摘要标题"/>
    <w:next w:val="1"/>
    <w:qFormat/>
    <w:uiPriority w:val="0"/>
    <w:pPr>
      <w:widowControl w:val="0"/>
      <w:spacing w:before="259" w:line="223" w:lineRule="auto"/>
      <w:ind w:left="3522"/>
      <w:jc w:val="both"/>
      <w:outlineLvl w:val="0"/>
    </w:pPr>
    <w:rPr>
      <w:rFonts w:ascii="仿宋_GB2312" w:hAnsi="黑体" w:eastAsia="仿宋_GB2312" w:cs="黑体"/>
      <w:spacing w:val="-4"/>
      <w:kern w:val="2"/>
      <w:sz w:val="43"/>
      <w:szCs w:val="43"/>
      <w:lang w:bidi="ar-SA"/>
    </w:rPr>
  </w:style>
  <w:style w:type="paragraph" w:customStyle="1" w:styleId="37">
    <w:name w:val="附录标题"/>
    <w:next w:val="1"/>
    <w:qFormat/>
    <w:uiPriority w:val="0"/>
    <w:pPr>
      <w:widowControl w:val="0"/>
      <w:spacing w:before="100" w:line="224" w:lineRule="auto"/>
      <w:ind w:left="51"/>
      <w:jc w:val="both"/>
      <w:outlineLvl w:val="0"/>
    </w:pPr>
    <w:rPr>
      <w:rFonts w:ascii="仿宋_GB2312" w:hAnsi="宋体" w:eastAsia="仿宋_GB2312" w:cs="宋体"/>
      <w:spacing w:val="5"/>
      <w:kern w:val="2"/>
      <w:sz w:val="31"/>
      <w:szCs w:val="31"/>
      <w:lang w:bidi="ar-SA"/>
    </w:rPr>
  </w:style>
  <w:style w:type="paragraph" w:customStyle="1" w:styleId="38">
    <w:name w:val="目录标题"/>
    <w:next w:val="1"/>
    <w:qFormat/>
    <w:uiPriority w:val="0"/>
    <w:pPr>
      <w:widowControl w:val="0"/>
      <w:spacing w:before="1" w:line="222" w:lineRule="auto"/>
      <w:ind w:left="3799"/>
      <w:jc w:val="both"/>
      <w:outlineLvl w:val="0"/>
    </w:pPr>
    <w:rPr>
      <w:rFonts w:ascii="黑体" w:hAnsi="黑体" w:eastAsia="黑体" w:cs="黑体"/>
      <w:b/>
      <w:spacing w:val="-14"/>
      <w:kern w:val="2"/>
      <w:sz w:val="44"/>
      <w:szCs w:val="44"/>
      <w:lang w:bidi="ar-SA"/>
    </w:rPr>
  </w:style>
  <w:style w:type="paragraph" w:customStyle="1" w:styleId="39">
    <w:name w:val="表格"/>
    <w:next w:val="1"/>
    <w:qFormat/>
    <w:uiPriority w:val="0"/>
    <w:pPr>
      <w:widowControl w:val="0"/>
      <w:spacing w:before="33" w:line="219" w:lineRule="auto"/>
      <w:ind w:left="0"/>
      <w:jc w:val="center"/>
      <w:outlineLvl w:val="9"/>
    </w:pPr>
    <w:rPr>
      <w:rFonts w:ascii="Times New Roman" w:hAnsi="Times New Roman" w:eastAsia="FangSong_GB2312" w:cs="Times New Roman"/>
      <w:spacing w:val="-1"/>
      <w:kern w:val="2"/>
      <w:sz w:val="22"/>
      <w:szCs w:val="22"/>
      <w:lang w:bidi="ar-SA"/>
    </w:rPr>
  </w:style>
  <w:style w:type="character" w:customStyle="1" w:styleId="40">
    <w:name w:val="标题 3 Char"/>
    <w:link w:val="5"/>
    <w:qFormat/>
    <w:uiPriority w:val="0"/>
    <w:rPr>
      <w:rFonts w:ascii="FangSong_GB2312" w:hAnsi="FangSong_GB2312" w:eastAsia="FangSong_GB2312" w:cs="Times New Roman"/>
      <w:b/>
      <w:spacing w:val="-1"/>
      <w:kern w:val="2"/>
      <w:sz w:val="32"/>
      <w:szCs w:val="31"/>
      <w:lang w:bidi="ar-SA"/>
    </w:rPr>
  </w:style>
  <w:style w:type="character" w:customStyle="1" w:styleId="41">
    <w:name w:val="标题 4 Char"/>
    <w:link w:val="6"/>
    <w:qFormat/>
    <w:uiPriority w:val="0"/>
    <w:rPr>
      <w:rFonts w:ascii="Times New Roman" w:hAnsi="Times New Roman" w:eastAsia="FangSong_GB2312" w:cs="Times New Roman"/>
      <w:b/>
      <w:bCs/>
      <w:kern w:val="2"/>
      <w:sz w:val="28"/>
      <w:szCs w:val="28"/>
      <w:lang w:bidi="ar-SA"/>
    </w:rPr>
  </w:style>
  <w:style w:type="character" w:customStyle="1" w:styleId="42">
    <w:name w:val="font101"/>
    <w:basedOn w:val="22"/>
    <w:qFormat/>
    <w:uiPriority w:val="0"/>
    <w:rPr>
      <w:rFonts w:hint="eastAsia" w:ascii="宋体" w:hAnsi="宋体" w:eastAsia="宋体" w:cs="宋体"/>
      <w:color w:val="000000"/>
      <w:sz w:val="19"/>
      <w:szCs w:val="19"/>
      <w:u w:val="none"/>
    </w:rPr>
  </w:style>
  <w:style w:type="character" w:customStyle="1" w:styleId="43">
    <w:name w:val="font112"/>
    <w:basedOn w:val="22"/>
    <w:qFormat/>
    <w:uiPriority w:val="0"/>
    <w:rPr>
      <w:rFonts w:hint="eastAsia" w:ascii="PingFang SC" w:hAnsi="PingFang SC" w:eastAsia="PingFang SC" w:cs="PingFang SC"/>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27786</Words>
  <Characters>29774</Characters>
  <Lines>0</Lines>
  <Paragraphs>0</Paragraphs>
  <TotalTime>20</TotalTime>
  <ScaleCrop>false</ScaleCrop>
  <LinksUpToDate>false</LinksUpToDate>
  <CharactersWithSpaces>30507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2025-08-01T15:01:00Z</dcterms:created>
  <dc:creator>wang</dc:creator>
  <cp:lastModifiedBy>Administrator</cp:lastModifiedBy>
  <dcterms:modified xsi:type="dcterms:W3CDTF">2025-09-17T02:43:40Z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BD4DC85FA39844A4827596A225D4DB8A</vt:lpwstr>
  </property>
</Properties>
</file>