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1F7AF">
      <w:pPr>
        <w:pStyle w:val="6"/>
        <w:keepNext w:val="0"/>
        <w:keepLines w:val="0"/>
        <w:pageBreakBefore w:val="0"/>
        <w:wordWrap/>
        <w:overflowPunct/>
        <w:bidi w:val="0"/>
        <w:spacing w:line="256" w:lineRule="auto"/>
        <w:jc w:val="center"/>
        <w:rPr>
          <w:rFonts w:ascii="Times New Roman" w:hAnsi="Times New Roman" w:cs="Times New Roman"/>
          <w:highlight w:val="none"/>
        </w:rPr>
      </w:pPr>
    </w:p>
    <w:p w14:paraId="7701145D">
      <w:pPr>
        <w:pStyle w:val="6"/>
        <w:keepNext w:val="0"/>
        <w:keepLines w:val="0"/>
        <w:pageBreakBefore w:val="0"/>
        <w:wordWrap/>
        <w:overflowPunct/>
        <w:bidi w:val="0"/>
        <w:spacing w:line="256" w:lineRule="auto"/>
        <w:rPr>
          <w:rFonts w:ascii="Times New Roman" w:hAnsi="Times New Roman" w:cs="Times New Roman"/>
          <w:highlight w:val="none"/>
        </w:rPr>
      </w:pPr>
    </w:p>
    <w:p w14:paraId="339A6278">
      <w:pPr>
        <w:pStyle w:val="6"/>
        <w:keepNext w:val="0"/>
        <w:keepLines w:val="0"/>
        <w:pageBreakBefore w:val="0"/>
        <w:wordWrap/>
        <w:overflowPunct/>
        <w:bidi w:val="0"/>
        <w:spacing w:line="256" w:lineRule="auto"/>
        <w:rPr>
          <w:rFonts w:ascii="Times New Roman" w:hAnsi="Times New Roman" w:cs="Times New Roman"/>
          <w:highlight w:val="none"/>
        </w:rPr>
      </w:pPr>
    </w:p>
    <w:p w14:paraId="4B69CE5F">
      <w:pPr>
        <w:pStyle w:val="6"/>
        <w:keepNext w:val="0"/>
        <w:keepLines w:val="0"/>
        <w:pageBreakBefore w:val="0"/>
        <w:wordWrap/>
        <w:overflowPunct/>
        <w:bidi w:val="0"/>
        <w:spacing w:line="257" w:lineRule="auto"/>
        <w:rPr>
          <w:rFonts w:ascii="Times New Roman" w:hAnsi="Times New Roman" w:cs="Times New Roman"/>
          <w:highlight w:val="none"/>
        </w:rPr>
      </w:pPr>
    </w:p>
    <w:p w14:paraId="0DA8844A">
      <w:pPr>
        <w:pStyle w:val="6"/>
        <w:keepNext w:val="0"/>
        <w:keepLines w:val="0"/>
        <w:pageBreakBefore w:val="0"/>
        <w:wordWrap/>
        <w:overflowPunct/>
        <w:bidi w:val="0"/>
        <w:spacing w:line="257" w:lineRule="auto"/>
        <w:rPr>
          <w:rFonts w:ascii="Times New Roman" w:hAnsi="Times New Roman" w:cs="Times New Roman"/>
          <w:highlight w:val="none"/>
        </w:rPr>
      </w:pPr>
    </w:p>
    <w:p w14:paraId="4CE32101">
      <w:pPr>
        <w:pStyle w:val="6"/>
        <w:keepNext w:val="0"/>
        <w:keepLines w:val="0"/>
        <w:pageBreakBefore w:val="0"/>
        <w:wordWrap/>
        <w:overflowPunct/>
        <w:bidi w:val="0"/>
        <w:spacing w:line="257" w:lineRule="auto"/>
        <w:rPr>
          <w:rFonts w:ascii="Times New Roman" w:hAnsi="Times New Roman" w:cs="Times New Roman"/>
          <w:highlight w:val="none"/>
        </w:rPr>
      </w:pPr>
    </w:p>
    <w:p w14:paraId="72F97E14">
      <w:pPr>
        <w:pStyle w:val="6"/>
        <w:keepNext w:val="0"/>
        <w:keepLines w:val="0"/>
        <w:pageBreakBefore w:val="0"/>
        <w:wordWrap/>
        <w:overflowPunct/>
        <w:bidi w:val="0"/>
        <w:spacing w:line="257" w:lineRule="auto"/>
        <w:rPr>
          <w:rFonts w:ascii="Times New Roman" w:hAnsi="Times New Roman" w:cs="Times New Roman"/>
          <w:highlight w:val="none"/>
        </w:rPr>
      </w:pPr>
    </w:p>
    <w:p w14:paraId="6FD704AD">
      <w:pPr>
        <w:pStyle w:val="6"/>
        <w:keepNext w:val="0"/>
        <w:keepLines w:val="0"/>
        <w:pageBreakBefore w:val="0"/>
        <w:wordWrap/>
        <w:overflowPunct/>
        <w:bidi w:val="0"/>
        <w:spacing w:line="257" w:lineRule="auto"/>
        <w:rPr>
          <w:rFonts w:ascii="Times New Roman" w:hAnsi="Times New Roman" w:cs="Times New Roman"/>
          <w:highlight w:val="none"/>
        </w:rPr>
      </w:pPr>
    </w:p>
    <w:p w14:paraId="6EBF99DA">
      <w:pPr>
        <w:pStyle w:val="6"/>
        <w:keepNext w:val="0"/>
        <w:keepLines w:val="0"/>
        <w:pageBreakBefore w:val="0"/>
        <w:wordWrap/>
        <w:overflowPunct/>
        <w:bidi w:val="0"/>
        <w:spacing w:line="257" w:lineRule="auto"/>
        <w:rPr>
          <w:rFonts w:ascii="Times New Roman" w:hAnsi="Times New Roman" w:cs="Times New Roman"/>
          <w:highlight w:val="none"/>
        </w:rPr>
      </w:pPr>
    </w:p>
    <w:p w14:paraId="6ABC2112">
      <w:pPr>
        <w:keepNext w:val="0"/>
        <w:keepLines w:val="0"/>
        <w:pageBreakBefore w:val="0"/>
        <w:wordWrap/>
        <w:overflowPunct/>
        <w:bidi w:val="0"/>
        <w:spacing w:before="169" w:line="224" w:lineRule="auto"/>
        <w:ind w:left="0" w:leftChars="0" w:firstLine="0" w:firstLineChars="0"/>
        <w:jc w:val="center"/>
        <w:outlineLvl w:val="9"/>
        <w:rPr>
          <w:rFonts w:ascii="Times New Roman" w:hAnsi="Times New Roman" w:eastAsia="黑体" w:cs="Times New Roman"/>
          <w:b/>
          <w:bCs/>
          <w:spacing w:val="-6"/>
          <w:sz w:val="52"/>
          <w:szCs w:val="52"/>
          <w:highlight w:val="none"/>
        </w:rPr>
      </w:pPr>
      <w:r>
        <w:rPr>
          <w:rFonts w:ascii="Times New Roman" w:hAnsi="Times New Roman" w:eastAsia="黑体" w:cs="Times New Roman"/>
          <w:b/>
          <w:bCs/>
          <w:spacing w:val="-6"/>
          <w:sz w:val="52"/>
          <w:szCs w:val="52"/>
          <w:highlight w:val="none"/>
        </w:rPr>
        <w:t>克拉玛依区</w:t>
      </w:r>
      <w:r>
        <w:rPr>
          <w:rFonts w:ascii="Times New Roman" w:hAnsi="Times New Roman" w:eastAsia="Times New Roman" w:cs="Times New Roman"/>
          <w:b/>
          <w:bCs/>
          <w:spacing w:val="-6"/>
          <w:sz w:val="52"/>
          <w:szCs w:val="52"/>
          <w:highlight w:val="none"/>
        </w:rPr>
        <w:t>20</w:t>
      </w:r>
      <w:r>
        <w:rPr>
          <w:rFonts w:ascii="Times New Roman" w:hAnsi="Times New Roman" w:eastAsia="黑体" w:cs="Times New Roman"/>
          <w:b/>
          <w:bCs/>
          <w:spacing w:val="-6"/>
          <w:sz w:val="52"/>
          <w:szCs w:val="52"/>
          <w:highlight w:val="none"/>
        </w:rPr>
        <w:t>2</w:t>
      </w:r>
      <w:r>
        <w:rPr>
          <w:rFonts w:hint="default" w:ascii="Times New Roman" w:hAnsi="Times New Roman" w:eastAsia="黑体" w:cs="Times New Roman"/>
          <w:b/>
          <w:bCs/>
          <w:spacing w:val="-6"/>
          <w:sz w:val="52"/>
          <w:szCs w:val="52"/>
          <w:highlight w:val="none"/>
          <w:lang w:val="en-US" w:eastAsia="zh-CN"/>
        </w:rPr>
        <w:t>4</w:t>
      </w:r>
      <w:r>
        <w:rPr>
          <w:rFonts w:ascii="Times New Roman" w:hAnsi="Times New Roman" w:eastAsia="黑体" w:cs="Times New Roman"/>
          <w:b/>
          <w:bCs/>
          <w:spacing w:val="-6"/>
          <w:sz w:val="52"/>
          <w:szCs w:val="52"/>
          <w:highlight w:val="none"/>
        </w:rPr>
        <w:t>年度</w:t>
      </w:r>
    </w:p>
    <w:p w14:paraId="3E6AB248">
      <w:pPr>
        <w:keepNext w:val="0"/>
        <w:keepLines w:val="0"/>
        <w:pageBreakBefore w:val="0"/>
        <w:widowControl/>
        <w:kinsoku/>
        <w:wordWrap/>
        <w:overflowPunct/>
        <w:topLinePunct w:val="0"/>
        <w:autoSpaceDE/>
        <w:autoSpaceDN/>
        <w:bidi w:val="0"/>
        <w:adjustRightInd w:val="0"/>
        <w:snapToGrid w:val="0"/>
        <w:spacing w:before="169" w:line="224" w:lineRule="auto"/>
        <w:jc w:val="center"/>
        <w:textAlignment w:val="baseline"/>
        <w:outlineLvl w:val="9"/>
        <w:rPr>
          <w:rFonts w:ascii="Times New Roman" w:hAnsi="Times New Roman" w:eastAsia="黑体" w:cs="Times New Roman"/>
          <w:b/>
          <w:bCs/>
          <w:spacing w:val="-6"/>
          <w:sz w:val="52"/>
          <w:szCs w:val="52"/>
          <w:highlight w:val="none"/>
        </w:rPr>
      </w:pPr>
      <w:r>
        <w:rPr>
          <w:rFonts w:hint="default" w:ascii="Times New Roman" w:hAnsi="Times New Roman" w:eastAsia="黑体" w:cs="Times New Roman"/>
          <w:b/>
          <w:bCs/>
          <w:spacing w:val="-6"/>
          <w:sz w:val="52"/>
          <w:szCs w:val="52"/>
          <w:highlight w:val="none"/>
          <w:lang w:val="en-US" w:eastAsia="zh-CN"/>
        </w:rPr>
        <w:t>预算</w:t>
      </w:r>
      <w:r>
        <w:rPr>
          <w:rFonts w:ascii="Times New Roman" w:hAnsi="Times New Roman" w:eastAsia="黑体" w:cs="Times New Roman"/>
          <w:b/>
          <w:bCs/>
          <w:spacing w:val="-6"/>
          <w:sz w:val="52"/>
          <w:szCs w:val="52"/>
          <w:highlight w:val="none"/>
        </w:rPr>
        <w:t>绩效评价报告</w:t>
      </w:r>
    </w:p>
    <w:p w14:paraId="633F5D39">
      <w:pPr>
        <w:pStyle w:val="6"/>
        <w:keepNext w:val="0"/>
        <w:keepLines w:val="0"/>
        <w:pageBreakBefore w:val="0"/>
        <w:wordWrap/>
        <w:overflowPunct/>
        <w:bidi w:val="0"/>
        <w:jc w:val="center"/>
        <w:rPr>
          <w:rFonts w:ascii="Times New Roman" w:hAnsi="Times New Roman" w:cs="Times New Roman"/>
          <w:highlight w:val="none"/>
        </w:rPr>
      </w:pPr>
    </w:p>
    <w:p w14:paraId="5AF9F6BA">
      <w:pPr>
        <w:pStyle w:val="6"/>
        <w:keepNext w:val="0"/>
        <w:keepLines w:val="0"/>
        <w:pageBreakBefore w:val="0"/>
        <w:wordWrap/>
        <w:overflowPunct/>
        <w:bidi w:val="0"/>
        <w:rPr>
          <w:rFonts w:ascii="Times New Roman" w:hAnsi="Times New Roman" w:cs="Times New Roman"/>
          <w:highlight w:val="none"/>
        </w:rPr>
      </w:pPr>
    </w:p>
    <w:p w14:paraId="7CEE26EA">
      <w:pPr>
        <w:pStyle w:val="6"/>
        <w:keepNext w:val="0"/>
        <w:keepLines w:val="0"/>
        <w:pageBreakBefore w:val="0"/>
        <w:wordWrap/>
        <w:overflowPunct/>
        <w:bidi w:val="0"/>
        <w:rPr>
          <w:rFonts w:ascii="Times New Roman" w:hAnsi="Times New Roman" w:cs="Times New Roman"/>
          <w:highlight w:val="none"/>
        </w:rPr>
      </w:pPr>
    </w:p>
    <w:p w14:paraId="0E12CA31">
      <w:pPr>
        <w:pStyle w:val="6"/>
        <w:keepNext w:val="0"/>
        <w:keepLines w:val="0"/>
        <w:pageBreakBefore w:val="0"/>
        <w:wordWrap/>
        <w:overflowPunct/>
        <w:bidi w:val="0"/>
        <w:rPr>
          <w:rFonts w:ascii="Times New Roman" w:hAnsi="Times New Roman" w:cs="Times New Roman"/>
          <w:highlight w:val="none"/>
        </w:rPr>
      </w:pPr>
    </w:p>
    <w:p w14:paraId="43B2332B">
      <w:pPr>
        <w:pStyle w:val="6"/>
        <w:keepNext w:val="0"/>
        <w:keepLines w:val="0"/>
        <w:pageBreakBefore w:val="0"/>
        <w:wordWrap/>
        <w:overflowPunct/>
        <w:bidi w:val="0"/>
        <w:rPr>
          <w:rFonts w:ascii="Times New Roman" w:hAnsi="Times New Roman" w:cs="Times New Roman"/>
          <w:highlight w:val="none"/>
        </w:rPr>
      </w:pPr>
    </w:p>
    <w:p w14:paraId="4E5EB4A7">
      <w:pPr>
        <w:pStyle w:val="6"/>
        <w:keepNext w:val="0"/>
        <w:keepLines w:val="0"/>
        <w:pageBreakBefore w:val="0"/>
        <w:wordWrap/>
        <w:overflowPunct/>
        <w:bidi w:val="0"/>
        <w:rPr>
          <w:rFonts w:ascii="Times New Roman" w:hAnsi="Times New Roman" w:cs="Times New Roman"/>
          <w:highlight w:val="none"/>
        </w:rPr>
      </w:pPr>
    </w:p>
    <w:p w14:paraId="09E7A8C9">
      <w:pPr>
        <w:pStyle w:val="6"/>
        <w:keepNext w:val="0"/>
        <w:keepLines w:val="0"/>
        <w:pageBreakBefore w:val="0"/>
        <w:wordWrap/>
        <w:overflowPunct/>
        <w:bidi w:val="0"/>
        <w:rPr>
          <w:rFonts w:ascii="Times New Roman" w:hAnsi="Times New Roman" w:cs="Times New Roman"/>
          <w:highlight w:val="none"/>
        </w:rPr>
      </w:pPr>
    </w:p>
    <w:p w14:paraId="17FE643B">
      <w:pPr>
        <w:pStyle w:val="6"/>
        <w:keepNext w:val="0"/>
        <w:keepLines w:val="0"/>
        <w:pageBreakBefore w:val="0"/>
        <w:wordWrap/>
        <w:overflowPunct/>
        <w:bidi w:val="0"/>
        <w:rPr>
          <w:rFonts w:ascii="Times New Roman" w:hAnsi="Times New Roman" w:cs="Times New Roman"/>
          <w:highlight w:val="none"/>
        </w:rPr>
      </w:pPr>
    </w:p>
    <w:p w14:paraId="1199C38D">
      <w:pPr>
        <w:pStyle w:val="6"/>
        <w:keepNext w:val="0"/>
        <w:keepLines w:val="0"/>
        <w:pageBreakBefore w:val="0"/>
        <w:wordWrap/>
        <w:overflowPunct/>
        <w:bidi w:val="0"/>
        <w:spacing w:line="241" w:lineRule="auto"/>
        <w:rPr>
          <w:rFonts w:ascii="Times New Roman" w:hAnsi="Times New Roman" w:cs="Times New Roman"/>
          <w:highlight w:val="none"/>
        </w:rPr>
      </w:pPr>
    </w:p>
    <w:p w14:paraId="6DF175C0">
      <w:pPr>
        <w:pStyle w:val="6"/>
        <w:keepNext w:val="0"/>
        <w:keepLines w:val="0"/>
        <w:pageBreakBefore w:val="0"/>
        <w:wordWrap/>
        <w:overflowPunct/>
        <w:bidi w:val="0"/>
        <w:spacing w:line="241" w:lineRule="auto"/>
        <w:rPr>
          <w:rFonts w:ascii="Times New Roman" w:hAnsi="Times New Roman" w:cs="Times New Roman"/>
          <w:highlight w:val="none"/>
        </w:rPr>
      </w:pPr>
    </w:p>
    <w:p w14:paraId="68698649">
      <w:pPr>
        <w:keepNext w:val="0"/>
        <w:keepLines w:val="0"/>
        <w:pageBreakBefore w:val="0"/>
        <w:wordWrap/>
        <w:overflowPunct/>
        <w:bidi w:val="0"/>
        <w:spacing w:before="101" w:line="226" w:lineRule="auto"/>
        <w:ind w:left="2483" w:leftChars="200" w:hanging="1843" w:hangingChars="562"/>
        <w:jc w:val="left"/>
        <w:rPr>
          <w:rFonts w:ascii="Times New Roman" w:hAnsi="Times New Roman" w:eastAsia="黑体" w:cs="Times New Roman"/>
          <w:spacing w:val="9"/>
          <w:sz w:val="31"/>
          <w:szCs w:val="31"/>
          <w:highlight w:val="none"/>
        </w:rPr>
      </w:pPr>
      <w:r>
        <w:rPr>
          <w:rFonts w:ascii="Times New Roman" w:hAnsi="Times New Roman" w:eastAsia="黑体" w:cs="Times New Roman"/>
          <w:spacing w:val="9"/>
          <w:sz w:val="31"/>
          <w:szCs w:val="31"/>
          <w:highlight w:val="none"/>
        </w:rPr>
        <w:t>项目名称</w:t>
      </w:r>
      <w:r>
        <w:rPr>
          <w:rFonts w:hint="default" w:ascii="Times New Roman" w:hAnsi="Times New Roman" w:eastAsia="黑体" w:cs="Times New Roman"/>
          <w:spacing w:val="9"/>
          <w:sz w:val="31"/>
          <w:szCs w:val="31"/>
          <w:highlight w:val="none"/>
          <w:lang w:eastAsia="zh-CN"/>
        </w:rPr>
        <w:t>：</w:t>
      </w:r>
      <w:r>
        <w:rPr>
          <w:rFonts w:hint="default" w:ascii="Times New Roman" w:hAnsi="Times New Roman" w:eastAsia="黑体" w:cs="Times New Roman"/>
          <w:spacing w:val="9"/>
          <w:sz w:val="31"/>
          <w:szCs w:val="31"/>
          <w:highlight w:val="none"/>
          <w:lang w:val="en-US" w:eastAsia="zh-CN"/>
        </w:rPr>
        <w:t>2024年</w:t>
      </w:r>
      <w:r>
        <w:rPr>
          <w:rFonts w:ascii="Times New Roman" w:hAnsi="Times New Roman" w:eastAsia="黑体" w:cs="Times New Roman"/>
          <w:spacing w:val="9"/>
          <w:sz w:val="31"/>
          <w:szCs w:val="31"/>
          <w:highlight w:val="none"/>
        </w:rPr>
        <w:t>国有企业退休人员社会化管理</w:t>
      </w:r>
    </w:p>
    <w:p w14:paraId="5ED92526">
      <w:pPr>
        <w:keepNext w:val="0"/>
        <w:keepLines w:val="0"/>
        <w:pageBreakBefore w:val="0"/>
        <w:wordWrap/>
        <w:overflowPunct/>
        <w:bidi w:val="0"/>
        <w:spacing w:before="101" w:line="226" w:lineRule="auto"/>
        <w:ind w:left="640" w:leftChars="0" w:firstLine="1600" w:firstLineChars="0"/>
        <w:jc w:val="left"/>
        <w:rPr>
          <w:rFonts w:hint="default" w:ascii="Times New Roman" w:hAnsi="Times New Roman" w:eastAsia="黑体" w:cs="Times New Roman"/>
          <w:sz w:val="31"/>
          <w:szCs w:val="31"/>
          <w:highlight w:val="none"/>
          <w:lang w:val="en-US" w:eastAsia="zh-CN"/>
        </w:rPr>
      </w:pPr>
      <w:r>
        <w:rPr>
          <w:rFonts w:hint="default" w:ascii="Times New Roman" w:hAnsi="Times New Roman" w:eastAsia="黑体" w:cs="Times New Roman"/>
          <w:spacing w:val="9"/>
          <w:sz w:val="31"/>
          <w:szCs w:val="31"/>
          <w:highlight w:val="none"/>
          <w:lang w:val="en-US" w:eastAsia="zh-CN"/>
        </w:rPr>
        <w:t>补助资金</w:t>
      </w:r>
    </w:p>
    <w:p w14:paraId="725133C3">
      <w:pPr>
        <w:keepNext w:val="0"/>
        <w:keepLines w:val="0"/>
        <w:pageBreakBefore w:val="0"/>
        <w:tabs>
          <w:tab w:val="left" w:pos="630"/>
        </w:tabs>
        <w:wordWrap/>
        <w:overflowPunct/>
        <w:bidi w:val="0"/>
        <w:spacing w:before="180" w:line="318" w:lineRule="auto"/>
        <w:ind w:left="2263" w:leftChars="0" w:right="1605" w:hanging="1623" w:firstLineChars="0"/>
        <w:jc w:val="left"/>
        <w:rPr>
          <w:rFonts w:hint="default" w:ascii="Times New Roman" w:hAnsi="Times New Roman" w:eastAsia="黑体" w:cs="Times New Roman"/>
          <w:sz w:val="31"/>
          <w:szCs w:val="31"/>
          <w:highlight w:val="none"/>
          <w:lang w:eastAsia="zh-CN"/>
        </w:rPr>
      </w:pPr>
      <w:r>
        <w:rPr>
          <w:rFonts w:ascii="Times New Roman" w:hAnsi="Times New Roman" w:eastAsia="黑体" w:cs="Times New Roman"/>
          <w:spacing w:val="9"/>
          <w:sz w:val="31"/>
          <w:szCs w:val="31"/>
          <w:highlight w:val="none"/>
        </w:rPr>
        <w:t>项目单位：</w:t>
      </w:r>
      <w:r>
        <w:rPr>
          <w:rFonts w:hint="default" w:ascii="Times New Roman" w:hAnsi="Times New Roman" w:eastAsia="黑体" w:cs="Times New Roman"/>
          <w:spacing w:val="9"/>
          <w:sz w:val="31"/>
          <w:szCs w:val="31"/>
          <w:highlight w:val="none"/>
          <w:lang w:val="en-US" w:eastAsia="zh-CN"/>
        </w:rPr>
        <w:t>克拉玛依区昆仑路街道办事处</w:t>
      </w:r>
    </w:p>
    <w:p w14:paraId="2D78C431">
      <w:pPr>
        <w:keepNext w:val="0"/>
        <w:keepLines w:val="0"/>
        <w:pageBreakBefore w:val="0"/>
        <w:tabs>
          <w:tab w:val="left" w:pos="630"/>
        </w:tabs>
        <w:wordWrap/>
        <w:overflowPunct/>
        <w:bidi w:val="0"/>
        <w:spacing w:before="52" w:line="318" w:lineRule="auto"/>
        <w:ind w:left="2266" w:leftChars="0" w:right="1602" w:hanging="1626" w:firstLineChars="0"/>
        <w:jc w:val="left"/>
        <w:rPr>
          <w:rFonts w:ascii="Times New Roman" w:hAnsi="Times New Roman" w:eastAsia="黑体" w:cs="Times New Roman"/>
          <w:sz w:val="31"/>
          <w:szCs w:val="31"/>
          <w:highlight w:val="none"/>
        </w:rPr>
      </w:pPr>
      <w:r>
        <w:rPr>
          <w:rFonts w:ascii="Times New Roman" w:hAnsi="Times New Roman" w:eastAsia="黑体" w:cs="Times New Roman"/>
          <w:spacing w:val="8"/>
          <w:sz w:val="31"/>
          <w:szCs w:val="31"/>
          <w:highlight w:val="none"/>
        </w:rPr>
        <w:t>主管部门：</w:t>
      </w:r>
      <w:r>
        <w:rPr>
          <w:rFonts w:hint="default" w:ascii="Times New Roman" w:hAnsi="Times New Roman" w:eastAsia="黑体" w:cs="Times New Roman"/>
          <w:spacing w:val="9"/>
          <w:sz w:val="31"/>
          <w:szCs w:val="31"/>
          <w:highlight w:val="none"/>
          <w:lang w:val="en-US" w:eastAsia="zh-CN"/>
        </w:rPr>
        <w:t>克拉玛依区昆仑路街道办事处</w:t>
      </w:r>
    </w:p>
    <w:p w14:paraId="29844737">
      <w:pPr>
        <w:keepNext w:val="0"/>
        <w:keepLines w:val="0"/>
        <w:pageBreakBefore w:val="0"/>
        <w:tabs>
          <w:tab w:val="left" w:pos="630"/>
        </w:tabs>
        <w:wordWrap/>
        <w:overflowPunct/>
        <w:bidi w:val="0"/>
        <w:spacing w:before="170" w:line="227" w:lineRule="auto"/>
        <w:ind w:left="0" w:leftChars="0" w:firstLine="639" w:firstLineChars="195"/>
        <w:jc w:val="left"/>
        <w:rPr>
          <w:rFonts w:ascii="Times New Roman" w:hAnsi="Times New Roman" w:eastAsia="黑体" w:cs="Times New Roman"/>
          <w:sz w:val="31"/>
          <w:szCs w:val="31"/>
          <w:highlight w:val="none"/>
        </w:rPr>
      </w:pPr>
      <w:r>
        <w:rPr>
          <w:rFonts w:ascii="Times New Roman" w:hAnsi="Times New Roman" w:eastAsia="黑体" w:cs="Times New Roman"/>
          <w:spacing w:val="9"/>
          <w:sz w:val="31"/>
          <w:szCs w:val="31"/>
          <w:highlight w:val="none"/>
        </w:rPr>
        <w:t>委托单位：克拉玛依市克拉玛依区财政局</w:t>
      </w:r>
    </w:p>
    <w:p w14:paraId="7E9F85C0">
      <w:pPr>
        <w:keepNext w:val="0"/>
        <w:keepLines w:val="0"/>
        <w:pageBreakBefore w:val="0"/>
        <w:tabs>
          <w:tab w:val="left" w:pos="630"/>
        </w:tabs>
        <w:wordWrap/>
        <w:overflowPunct/>
        <w:bidi w:val="0"/>
        <w:spacing w:before="299" w:line="319" w:lineRule="auto"/>
        <w:ind w:left="3332" w:right="1280" w:rightChars="400" w:hanging="2666"/>
        <w:jc w:val="left"/>
        <w:rPr>
          <w:rFonts w:hint="default" w:ascii="Times New Roman" w:hAnsi="Times New Roman" w:eastAsia="黑体" w:cs="Times New Roman"/>
          <w:spacing w:val="9"/>
          <w:sz w:val="31"/>
          <w:szCs w:val="31"/>
          <w:highlight w:val="none"/>
          <w:lang w:val="en-US" w:eastAsia="zh-CN"/>
        </w:rPr>
      </w:pPr>
      <w:r>
        <w:rPr>
          <w:rFonts w:ascii="Times New Roman" w:hAnsi="Times New Roman" w:eastAsia="黑体" w:cs="Times New Roman"/>
          <w:spacing w:val="9"/>
          <w:sz w:val="31"/>
          <w:szCs w:val="31"/>
          <w:highlight w:val="none"/>
        </w:rPr>
        <w:t>评价机构</w:t>
      </w:r>
      <w:r>
        <w:rPr>
          <w:rFonts w:hint="default" w:ascii="Times New Roman" w:hAnsi="Times New Roman" w:eastAsia="黑体" w:cs="Times New Roman"/>
          <w:spacing w:val="9"/>
          <w:sz w:val="31"/>
          <w:szCs w:val="31"/>
          <w:highlight w:val="none"/>
          <w:lang w:eastAsia="zh-CN"/>
        </w:rPr>
        <w:t>：</w:t>
      </w:r>
      <w:r>
        <w:rPr>
          <w:rFonts w:hint="default" w:ascii="Times New Roman" w:hAnsi="Times New Roman" w:eastAsia="黑体" w:cs="Times New Roman"/>
          <w:spacing w:val="9"/>
          <w:sz w:val="31"/>
          <w:szCs w:val="31"/>
          <w:highlight w:val="none"/>
          <w:lang w:val="en-US" w:eastAsia="zh-CN"/>
        </w:rPr>
        <w:t>北京上计会计师事务所</w:t>
      </w:r>
    </w:p>
    <w:p w14:paraId="1F1CB777">
      <w:pPr>
        <w:keepNext w:val="0"/>
        <w:keepLines w:val="0"/>
        <w:pageBreakBefore w:val="0"/>
        <w:tabs>
          <w:tab w:val="left" w:pos="630"/>
        </w:tabs>
        <w:wordWrap/>
        <w:overflowPunct/>
        <w:bidi w:val="0"/>
        <w:spacing w:before="299" w:line="319" w:lineRule="auto"/>
        <w:ind w:left="3332" w:right="1280" w:rightChars="400" w:hanging="2666"/>
        <w:jc w:val="center"/>
        <w:rPr>
          <w:rFonts w:ascii="Times New Roman" w:hAnsi="Times New Roman" w:eastAsia="黑体" w:cs="Times New Roman"/>
          <w:sz w:val="31"/>
          <w:szCs w:val="31"/>
          <w:highlight w:val="none"/>
        </w:rPr>
      </w:pPr>
      <w:r>
        <w:rPr>
          <w:rFonts w:ascii="Times New Roman" w:hAnsi="Times New Roman" w:eastAsia="Times New Roman" w:cs="Times New Roman"/>
          <w:sz w:val="31"/>
          <w:szCs w:val="31"/>
          <w:highlight w:val="none"/>
        </w:rPr>
        <w:t>202</w:t>
      </w:r>
      <w:r>
        <w:rPr>
          <w:rFonts w:hint="default" w:ascii="Times New Roman" w:hAnsi="Times New Roman" w:eastAsia="宋体" w:cs="Times New Roman"/>
          <w:sz w:val="31"/>
          <w:szCs w:val="31"/>
          <w:highlight w:val="none"/>
          <w:lang w:val="en-US" w:eastAsia="zh-CN"/>
        </w:rPr>
        <w:t>5</w:t>
      </w:r>
      <w:r>
        <w:rPr>
          <w:rFonts w:ascii="Times New Roman" w:hAnsi="Times New Roman" w:eastAsia="Times New Roman" w:cs="Times New Roman"/>
          <w:spacing w:val="16"/>
          <w:sz w:val="31"/>
          <w:szCs w:val="31"/>
          <w:highlight w:val="none"/>
        </w:rPr>
        <w:t xml:space="preserve"> </w:t>
      </w:r>
      <w:r>
        <w:rPr>
          <w:rFonts w:ascii="Times New Roman" w:hAnsi="Times New Roman" w:eastAsia="黑体" w:cs="Times New Roman"/>
          <w:sz w:val="31"/>
          <w:szCs w:val="31"/>
          <w:highlight w:val="none"/>
        </w:rPr>
        <w:t>年</w:t>
      </w:r>
      <w:r>
        <w:rPr>
          <w:rFonts w:ascii="Times New Roman" w:hAnsi="Times New Roman" w:eastAsia="黑体" w:cs="Times New Roman"/>
          <w:spacing w:val="-61"/>
          <w:sz w:val="31"/>
          <w:szCs w:val="31"/>
          <w:highlight w:val="none"/>
        </w:rPr>
        <w:t xml:space="preserve"> </w:t>
      </w:r>
      <w:r>
        <w:rPr>
          <w:rFonts w:hint="default" w:ascii="Times New Roman" w:hAnsi="Times New Roman" w:eastAsia="黑体" w:cs="Times New Roman"/>
          <w:spacing w:val="-61"/>
          <w:sz w:val="31"/>
          <w:szCs w:val="31"/>
          <w:highlight w:val="none"/>
          <w:lang w:val="en-US" w:eastAsia="zh-CN"/>
        </w:rPr>
        <w:t xml:space="preserve">    </w:t>
      </w:r>
      <w:r>
        <w:rPr>
          <w:rFonts w:hint="default" w:ascii="Times New Roman" w:hAnsi="Times New Roman" w:eastAsia="宋体" w:cs="Times New Roman"/>
          <w:sz w:val="31"/>
          <w:szCs w:val="31"/>
          <w:highlight w:val="none"/>
          <w:lang w:val="en-US" w:eastAsia="zh-CN"/>
        </w:rPr>
        <w:t xml:space="preserve">8 </w:t>
      </w:r>
      <w:r>
        <w:rPr>
          <w:rFonts w:ascii="Times New Roman" w:hAnsi="Times New Roman" w:eastAsia="黑体" w:cs="Times New Roman"/>
          <w:sz w:val="31"/>
          <w:szCs w:val="31"/>
          <w:highlight w:val="none"/>
        </w:rPr>
        <w:t>月</w:t>
      </w:r>
    </w:p>
    <w:p w14:paraId="07E262A5">
      <w:pPr>
        <w:keepNext w:val="0"/>
        <w:keepLines w:val="0"/>
        <w:pageBreakBefore w:val="0"/>
        <w:wordWrap/>
        <w:overflowPunct/>
        <w:bidi w:val="0"/>
        <w:spacing w:line="319" w:lineRule="auto"/>
        <w:rPr>
          <w:rFonts w:ascii="Times New Roman" w:hAnsi="Times New Roman" w:eastAsia="黑体" w:cs="Times New Roman"/>
          <w:sz w:val="31"/>
          <w:szCs w:val="31"/>
          <w:highlight w:val="none"/>
        </w:rPr>
        <w:sectPr>
          <w:headerReference r:id="rId5" w:type="default"/>
          <w:pgSz w:w="11906" w:h="16839"/>
          <w:pgMar w:top="400" w:right="1785" w:bottom="0" w:left="1785" w:header="0" w:footer="0" w:gutter="0"/>
          <w:cols w:space="720" w:num="1"/>
        </w:sectPr>
      </w:pPr>
    </w:p>
    <w:tbl>
      <w:tblPr>
        <w:tblStyle w:val="13"/>
        <w:tblW w:w="1347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430"/>
        <w:gridCol w:w="2520"/>
        <w:gridCol w:w="2510"/>
        <w:gridCol w:w="1055"/>
        <w:gridCol w:w="2260"/>
        <w:gridCol w:w="2704"/>
      </w:tblGrid>
      <w:tr w14:paraId="40C79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8515" w:type="dxa"/>
            <w:gridSpan w:val="4"/>
            <w:tcBorders>
              <w:top w:val="nil"/>
              <w:left w:val="nil"/>
              <w:bottom w:val="nil"/>
              <w:right w:val="nil"/>
            </w:tcBorders>
            <w:shd w:val="clear" w:color="auto" w:fill="auto"/>
            <w:noWrap/>
            <w:vAlign w:val="center"/>
          </w:tcPr>
          <w:p w14:paraId="76C5B9F2">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评价分值：</w:t>
            </w:r>
            <w:r>
              <w:rPr>
                <w:rFonts w:hint="default" w:ascii="Times New Roman" w:hAnsi="Times New Roman" w:cs="Times New Roman"/>
                <w:i w:val="0"/>
                <w:iCs w:val="0"/>
                <w:snapToGrid w:val="0"/>
                <w:color w:val="000000"/>
                <w:kern w:val="0"/>
                <w:sz w:val="22"/>
                <w:szCs w:val="22"/>
                <w:highlight w:val="none"/>
                <w:u w:val="none"/>
                <w:lang w:val="en-US" w:eastAsia="zh-CN" w:bidi="ar"/>
              </w:rPr>
              <w:t>99分</w:t>
            </w:r>
          </w:p>
        </w:tc>
        <w:tc>
          <w:tcPr>
            <w:tcW w:w="4964" w:type="dxa"/>
            <w:gridSpan w:val="2"/>
            <w:tcBorders>
              <w:top w:val="nil"/>
              <w:left w:val="nil"/>
              <w:bottom w:val="nil"/>
              <w:right w:val="nil"/>
            </w:tcBorders>
            <w:shd w:val="clear" w:color="auto" w:fill="auto"/>
            <w:noWrap/>
            <w:vAlign w:val="center"/>
          </w:tcPr>
          <w:p w14:paraId="3C72594D">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评价等级：</w:t>
            </w:r>
            <w:r>
              <w:rPr>
                <w:rFonts w:hint="default" w:ascii="Times New Roman" w:hAnsi="Times New Roman" w:cs="Times New Roman"/>
                <w:i w:val="0"/>
                <w:iCs w:val="0"/>
                <w:snapToGrid w:val="0"/>
                <w:color w:val="000000"/>
                <w:kern w:val="0"/>
                <w:sz w:val="22"/>
                <w:szCs w:val="22"/>
                <w:highlight w:val="none"/>
                <w:u w:val="none"/>
                <w:lang w:val="en-US" w:eastAsia="zh-CN" w:bidi="ar"/>
              </w:rPr>
              <w:t>优</w:t>
            </w:r>
          </w:p>
        </w:tc>
      </w:tr>
      <w:tr w14:paraId="7B773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13479" w:type="dxa"/>
            <w:gridSpan w:val="6"/>
            <w:vMerge w:val="restart"/>
            <w:tcBorders>
              <w:top w:val="nil"/>
              <w:left w:val="nil"/>
              <w:bottom w:val="nil"/>
              <w:right w:val="nil"/>
            </w:tcBorders>
            <w:shd w:val="clear" w:color="auto" w:fill="auto"/>
            <w:noWrap/>
            <w:vAlign w:val="center"/>
          </w:tcPr>
          <w:p w14:paraId="2666100C">
            <w:pPr>
              <w:keepNext w:val="0"/>
              <w:keepLines w:val="0"/>
              <w:widowControl/>
              <w:suppressLineNumbers w:val="0"/>
              <w:jc w:val="center"/>
              <w:textAlignment w:val="center"/>
              <w:rPr>
                <w:rFonts w:hint="default" w:ascii="Times New Roman" w:hAnsi="Times New Roman" w:eastAsia="仿宋_GB2312" w:cs="Times New Roman"/>
                <w:i w:val="0"/>
                <w:iCs w:val="0"/>
                <w:snapToGrid w:val="0"/>
                <w:color w:val="000000"/>
                <w:kern w:val="0"/>
                <w:sz w:val="56"/>
                <w:szCs w:val="56"/>
                <w:highlight w:val="none"/>
                <w:u w:val="none"/>
                <w:lang w:val="en-US" w:eastAsia="zh-CN" w:bidi="ar"/>
              </w:rPr>
            </w:pPr>
            <w:r>
              <w:rPr>
                <w:rFonts w:hint="default" w:ascii="Times New Roman" w:hAnsi="Times New Roman" w:eastAsia="仿宋_GB2312" w:cs="Times New Roman"/>
                <w:i w:val="0"/>
                <w:iCs w:val="0"/>
                <w:snapToGrid w:val="0"/>
                <w:color w:val="000000"/>
                <w:kern w:val="0"/>
                <w:sz w:val="56"/>
                <w:szCs w:val="56"/>
                <w:highlight w:val="none"/>
                <w:u w:val="none"/>
                <w:lang w:val="en-US" w:eastAsia="zh-CN" w:bidi="ar"/>
              </w:rPr>
              <w:t>概</w:t>
            </w:r>
            <w:r>
              <w:rPr>
                <w:rFonts w:hint="default" w:ascii="Times New Roman" w:hAnsi="Times New Roman" w:cs="Times New Roman"/>
                <w:i w:val="0"/>
                <w:iCs w:val="0"/>
                <w:snapToGrid w:val="0"/>
                <w:color w:val="000000"/>
                <w:kern w:val="0"/>
                <w:sz w:val="56"/>
                <w:szCs w:val="56"/>
                <w:highlight w:val="none"/>
                <w:u w:val="none"/>
                <w:lang w:val="en-US" w:eastAsia="zh-CN" w:bidi="ar"/>
              </w:rPr>
              <w:t xml:space="preserve"> </w:t>
            </w:r>
            <w:r>
              <w:rPr>
                <w:rFonts w:hint="default" w:ascii="Times New Roman" w:hAnsi="Times New Roman" w:eastAsia="仿宋_GB2312" w:cs="Times New Roman"/>
                <w:i w:val="0"/>
                <w:iCs w:val="0"/>
                <w:snapToGrid w:val="0"/>
                <w:color w:val="000000"/>
                <w:kern w:val="0"/>
                <w:sz w:val="56"/>
                <w:szCs w:val="56"/>
                <w:highlight w:val="none"/>
                <w:u w:val="none"/>
                <w:lang w:val="en-US" w:eastAsia="zh-CN" w:bidi="ar"/>
              </w:rPr>
              <w:t>要</w:t>
            </w:r>
          </w:p>
          <w:p w14:paraId="5A8292B5">
            <w:pPr>
              <w:keepNext w:val="0"/>
              <w:keepLines w:val="0"/>
              <w:widowControl/>
              <w:suppressLineNumbers w:val="0"/>
              <w:jc w:val="center"/>
              <w:textAlignment w:val="center"/>
              <w:rPr>
                <w:rFonts w:hint="default" w:ascii="Times New Roman" w:hAnsi="Times New Roman" w:eastAsia="仿宋_GB2312" w:cs="Times New Roman"/>
                <w:i w:val="0"/>
                <w:iCs w:val="0"/>
                <w:snapToGrid w:val="0"/>
                <w:color w:val="000000"/>
                <w:kern w:val="0"/>
                <w:sz w:val="56"/>
                <w:szCs w:val="56"/>
                <w:highlight w:val="none"/>
                <w:u w:val="none"/>
                <w:lang w:val="en-US" w:eastAsia="zh-CN" w:bidi="ar"/>
              </w:rPr>
            </w:pPr>
          </w:p>
        </w:tc>
      </w:tr>
      <w:tr w14:paraId="208F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jc w:val="center"/>
        </w:trPr>
        <w:tc>
          <w:tcPr>
            <w:tcW w:w="13479" w:type="dxa"/>
            <w:gridSpan w:val="6"/>
            <w:vMerge w:val="continue"/>
            <w:tcBorders>
              <w:top w:val="nil"/>
              <w:left w:val="nil"/>
              <w:bottom w:val="nil"/>
              <w:right w:val="nil"/>
            </w:tcBorders>
            <w:shd w:val="clear" w:color="auto" w:fill="auto"/>
            <w:noWrap/>
            <w:vAlign w:val="center"/>
          </w:tcPr>
          <w:p w14:paraId="2274C705">
            <w:pPr>
              <w:jc w:val="center"/>
              <w:rPr>
                <w:rFonts w:hint="default" w:ascii="Times New Roman" w:hAnsi="Times New Roman" w:eastAsia="仿宋_GB2312" w:cs="Times New Roman"/>
                <w:i w:val="0"/>
                <w:iCs w:val="0"/>
                <w:color w:val="000000"/>
                <w:sz w:val="56"/>
                <w:szCs w:val="56"/>
                <w:highlight w:val="none"/>
                <w:u w:val="none"/>
              </w:rPr>
            </w:pPr>
          </w:p>
        </w:tc>
      </w:tr>
      <w:tr w14:paraId="1B5B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9" w:hRule="atLeast"/>
          <w:jc w:val="center"/>
        </w:trPr>
        <w:tc>
          <w:tcPr>
            <w:tcW w:w="8515" w:type="dxa"/>
            <w:gridSpan w:val="4"/>
            <w:tcBorders>
              <w:top w:val="nil"/>
              <w:left w:val="nil"/>
              <w:bottom w:val="nil"/>
              <w:right w:val="nil"/>
            </w:tcBorders>
            <w:shd w:val="clear" w:color="auto" w:fill="auto"/>
            <w:noWrap/>
            <w:vAlign w:val="center"/>
          </w:tcPr>
          <w:p w14:paraId="481304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评价机构全称：北京上计会计师事务所（普通合伙）</w:t>
            </w:r>
          </w:p>
        </w:tc>
        <w:tc>
          <w:tcPr>
            <w:tcW w:w="4964" w:type="dxa"/>
            <w:gridSpan w:val="2"/>
            <w:tcBorders>
              <w:top w:val="nil"/>
              <w:left w:val="nil"/>
              <w:bottom w:val="single" w:color="000000" w:sz="4" w:space="0"/>
              <w:right w:val="nil"/>
            </w:tcBorders>
            <w:shd w:val="clear" w:color="auto" w:fill="auto"/>
            <w:noWrap/>
            <w:vAlign w:val="center"/>
          </w:tcPr>
          <w:p w14:paraId="0EBC8C8B">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单位：万元、类、个</w:t>
            </w:r>
          </w:p>
        </w:tc>
      </w:tr>
      <w:tr w14:paraId="3C60D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7F0A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项目名称</w:t>
            </w:r>
          </w:p>
        </w:tc>
        <w:tc>
          <w:tcPr>
            <w:tcW w:w="60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FB0C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2024年国有企业退休人员社会化管理补助资金</w:t>
            </w:r>
          </w:p>
        </w:tc>
        <w:tc>
          <w:tcPr>
            <w:tcW w:w="4964" w:type="dxa"/>
            <w:gridSpan w:val="2"/>
            <w:tcBorders>
              <w:top w:val="nil"/>
              <w:left w:val="single" w:color="000000" w:sz="4" w:space="0"/>
              <w:bottom w:val="single" w:color="000000" w:sz="4" w:space="0"/>
              <w:right w:val="single" w:color="000000" w:sz="4" w:space="0"/>
            </w:tcBorders>
            <w:shd w:val="clear" w:color="auto" w:fill="auto"/>
            <w:noWrap/>
            <w:vAlign w:val="center"/>
          </w:tcPr>
          <w:p w14:paraId="1E625A7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评价年度：2024年度</w:t>
            </w:r>
          </w:p>
        </w:tc>
      </w:tr>
      <w:tr w14:paraId="33FB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0E5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项目主管科室</w:t>
            </w:r>
          </w:p>
        </w:tc>
        <w:tc>
          <w:tcPr>
            <w:tcW w:w="60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2C5A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克拉玛依市克拉玛依区昆仑路街道办事处</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FCE5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联系人及联系方式</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A0F6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才尼德：18609905993</w:t>
            </w:r>
          </w:p>
        </w:tc>
      </w:tr>
      <w:tr w14:paraId="491A2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E97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项目主管部门</w:t>
            </w:r>
          </w:p>
        </w:tc>
        <w:tc>
          <w:tcPr>
            <w:tcW w:w="608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9516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克拉玛依市克拉玛依区昆仑路街道办事处</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C12E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联系人及联系方式</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4E39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才尼德：18609905993</w:t>
            </w:r>
          </w:p>
        </w:tc>
      </w:tr>
      <w:tr w14:paraId="3C75B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31422">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自评方式</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BC2E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2024年度项目自评表</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F5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自评分值</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962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29D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自评等级</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D49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优秀</w:t>
            </w:r>
          </w:p>
        </w:tc>
      </w:tr>
      <w:tr w14:paraId="590DB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43EA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资金拨付数</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E00C">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214.59</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5B9EB">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资金抽查数</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B5467">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214.59</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738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资金抽查占比</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62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r>
      <w:tr w14:paraId="66098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7805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项目类别</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26808">
            <w:pPr>
              <w:rPr>
                <w:rFonts w:hint="default" w:ascii="Times New Roman" w:hAnsi="Times New Roman" w:eastAsia="仿宋_GB2312" w:cs="Times New Roman"/>
                <w:i w:val="0"/>
                <w:iCs w:val="0"/>
                <w:color w:val="000000"/>
                <w:sz w:val="22"/>
                <w:szCs w:val="22"/>
                <w:highlight w:val="none"/>
                <w:u w:val="none"/>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960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抽查类别</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B2B5F">
            <w:pPr>
              <w:rPr>
                <w:rFonts w:hint="default" w:ascii="Times New Roman" w:hAnsi="Times New Roman" w:eastAsia="仿宋_GB2312" w:cs="Times New Roman"/>
                <w:i w:val="0"/>
                <w:iCs w:val="0"/>
                <w:color w:val="000000"/>
                <w:sz w:val="22"/>
                <w:szCs w:val="22"/>
                <w:highlight w:val="none"/>
                <w:u w:val="none"/>
              </w:rPr>
            </w:pP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4AEE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类别抽查占比</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1940">
            <w:pPr>
              <w:jc w:val="center"/>
              <w:rPr>
                <w:rFonts w:hint="default" w:ascii="Times New Roman" w:hAnsi="Times New Roman" w:eastAsia="仿宋_GB2312" w:cs="Times New Roman"/>
                <w:i w:val="0"/>
                <w:iCs w:val="0"/>
                <w:color w:val="000000"/>
                <w:sz w:val="22"/>
                <w:szCs w:val="22"/>
                <w:highlight w:val="none"/>
                <w:u w:val="none"/>
              </w:rPr>
            </w:pPr>
          </w:p>
        </w:tc>
      </w:tr>
      <w:tr w14:paraId="3643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92FFB">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项目数量</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A53C">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4599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抽查项目数</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E962">
            <w:pPr>
              <w:keepNext w:val="0"/>
              <w:keepLines w:val="0"/>
              <w:widowControl/>
              <w:suppressLineNumbers w:val="0"/>
              <w:jc w:val="righ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6AC9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项目抽查占比</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ACB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r>
      <w:tr w14:paraId="2B605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C33B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涉及市县数或项目点</w:t>
            </w:r>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5C749">
            <w:pPr>
              <w:rPr>
                <w:rFonts w:hint="default" w:ascii="Times New Roman" w:hAnsi="Times New Roman" w:eastAsia="仿宋_GB2312" w:cs="Times New Roman"/>
                <w:i w:val="0"/>
                <w:iCs w:val="0"/>
                <w:color w:val="000000"/>
                <w:sz w:val="22"/>
                <w:szCs w:val="22"/>
                <w:highlight w:val="none"/>
                <w:u w:val="none"/>
              </w:rPr>
            </w:pPr>
          </w:p>
        </w:tc>
        <w:tc>
          <w:tcPr>
            <w:tcW w:w="25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5718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抽查市县数或项目点</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D8AF8">
            <w:pPr>
              <w:rPr>
                <w:rFonts w:hint="default" w:ascii="Times New Roman" w:hAnsi="Times New Roman" w:eastAsia="仿宋_GB2312" w:cs="Times New Roman"/>
                <w:i w:val="0"/>
                <w:iCs w:val="0"/>
                <w:color w:val="000000"/>
                <w:sz w:val="22"/>
                <w:szCs w:val="22"/>
                <w:highlight w:val="none"/>
                <w:u w:val="none"/>
              </w:rPr>
            </w:pP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280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抽查区域</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94A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克拉玛依区昆仑路街道</w:t>
            </w:r>
          </w:p>
        </w:tc>
      </w:tr>
      <w:tr w14:paraId="53C2F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9"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AC4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发放</w:t>
            </w:r>
            <w:ins w:id="0" w:author="WPS_1615451219" w:date="2025-09-19T10:43:53Z">
              <w:r>
                <w:rPr>
                  <w:rFonts w:hint="eastAsia" w:ascii="Times New Roman" w:hAnsi="Times New Roman" w:cs="Times New Roman"/>
                  <w:i w:val="0"/>
                  <w:iCs w:val="0"/>
                  <w:snapToGrid w:val="0"/>
                  <w:color w:val="000000"/>
                  <w:kern w:val="0"/>
                  <w:sz w:val="22"/>
                  <w:szCs w:val="22"/>
                  <w:highlight w:val="none"/>
                  <w:u w:val="none"/>
                  <w:lang w:val="en-US" w:eastAsia="zh-CN" w:bidi="ar"/>
                </w:rPr>
                <w:t>调查问卷</w:t>
              </w:r>
            </w:ins>
            <w:del w:id="1" w:author="WPS_1615451219" w:date="2025-09-19T10:43:53Z">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delText>调查问券</w:delText>
              </w:r>
            </w:del>
          </w:p>
        </w:tc>
        <w:tc>
          <w:tcPr>
            <w:tcW w:w="25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FDA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c>
          <w:tcPr>
            <w:tcW w:w="25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69B3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有效调查问卷</w:t>
            </w:r>
          </w:p>
        </w:tc>
        <w:tc>
          <w:tcPr>
            <w:tcW w:w="10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1D3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c>
          <w:tcPr>
            <w:tcW w:w="2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FC9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满意度情况</w:t>
            </w:r>
          </w:p>
        </w:tc>
        <w:tc>
          <w:tcPr>
            <w:tcW w:w="2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9446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r>
      <w:tr w14:paraId="1F463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43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C000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绩效评价总体情况</w:t>
            </w:r>
          </w:p>
        </w:tc>
        <w:tc>
          <w:tcPr>
            <w:tcW w:w="11049"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E366F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    依据《关于下达2024年国有企业退休人员社会化管理补助资金预算的通知》(克财企〔2024〕1号)、《关于印发〈克拉玛依市国有企业退休人员社会化管理服务暂行办法〉的通知》（新克政发〔2020〕63号）、《关于做好新疆维吾尔自治区国有企业退休人员社会化管理补助资金管理的通知》（新财企〔2020〕63号）、《关于进一步加强国有企业退休人员社会化管理补助资金使用管理的通知》（新财办企〔2023〕1号）、《自治区党委办公厅、自治区人民政府办公厅〈关于加快推进国有企业退休人员社会化管理的工作方案〉的通知》(新党厅字〔2019〕69号)、《财政部国资委关于支持地方做好中央企业及原下放企业退休人员社会化管理工作的通知》(财资〔2020〕1号)等文件要求，做好国有企业退休人员社会化管理的综合管理工作，统筹规划国有企业退休人员社会化管理服务事业发展，加强社区文体设施建设，组织开展丰富多彩的文化体育健身等活动，安排好居住小区老年人活动服务场所，提升街道和社区服务能力和水平，增强国有企业退休人员幸福感。</w:t>
            </w:r>
          </w:p>
        </w:tc>
      </w:tr>
      <w:tr w14:paraId="475C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24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7739C">
            <w:pPr>
              <w:jc w:val="center"/>
              <w:rPr>
                <w:rFonts w:hint="default" w:ascii="Times New Roman" w:hAnsi="Times New Roman" w:eastAsia="仿宋_GB2312" w:cs="Times New Roman"/>
                <w:i w:val="0"/>
                <w:iCs w:val="0"/>
                <w:color w:val="000000"/>
                <w:sz w:val="22"/>
                <w:szCs w:val="22"/>
                <w:highlight w:val="none"/>
                <w:u w:val="none"/>
              </w:rPr>
            </w:pPr>
          </w:p>
        </w:tc>
        <w:tc>
          <w:tcPr>
            <w:tcW w:w="1104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0925">
            <w:pPr>
              <w:jc w:val="left"/>
              <w:rPr>
                <w:rFonts w:hint="default" w:ascii="Times New Roman" w:hAnsi="Times New Roman" w:eastAsia="仿宋_GB2312" w:cs="Times New Roman"/>
                <w:i w:val="0"/>
                <w:iCs w:val="0"/>
                <w:color w:val="000000"/>
                <w:sz w:val="22"/>
                <w:szCs w:val="22"/>
                <w:highlight w:val="none"/>
                <w:u w:val="none"/>
              </w:rPr>
            </w:pPr>
          </w:p>
        </w:tc>
      </w:tr>
      <w:tr w14:paraId="0E9C0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25" w:hRule="atLeast"/>
          <w:jc w:val="center"/>
        </w:trPr>
        <w:tc>
          <w:tcPr>
            <w:tcW w:w="243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1B867">
            <w:pPr>
              <w:jc w:val="center"/>
              <w:rPr>
                <w:rFonts w:hint="default" w:ascii="Times New Roman" w:hAnsi="Times New Roman" w:eastAsia="仿宋_GB2312" w:cs="Times New Roman"/>
                <w:i w:val="0"/>
                <w:iCs w:val="0"/>
                <w:color w:val="000000"/>
                <w:sz w:val="22"/>
                <w:szCs w:val="22"/>
                <w:highlight w:val="none"/>
                <w:u w:val="none"/>
              </w:rPr>
            </w:pPr>
          </w:p>
        </w:tc>
        <w:tc>
          <w:tcPr>
            <w:tcW w:w="11049"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4B44A">
            <w:pPr>
              <w:jc w:val="left"/>
              <w:rPr>
                <w:rFonts w:hint="default" w:ascii="Times New Roman" w:hAnsi="Times New Roman" w:eastAsia="仿宋_GB2312" w:cs="Times New Roman"/>
                <w:i w:val="0"/>
                <w:iCs w:val="0"/>
                <w:color w:val="000000"/>
                <w:sz w:val="22"/>
                <w:szCs w:val="22"/>
                <w:highlight w:val="none"/>
                <w:u w:val="none"/>
              </w:rPr>
            </w:pPr>
          </w:p>
        </w:tc>
      </w:tr>
      <w:tr w14:paraId="47C2B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3"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774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评价问题简要情况</w:t>
            </w:r>
          </w:p>
        </w:tc>
        <w:tc>
          <w:tcPr>
            <w:tcW w:w="11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2ED4DC">
            <w:pPr>
              <w:keepNext w:val="0"/>
              <w:keepLines w:val="0"/>
              <w:widowControl/>
              <w:numPr>
                <w:ilvl w:val="0"/>
                <w:numId w:val="1"/>
              </w:numPr>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绩效管理方面：1.项目绩效指标设计不够合理</w:t>
            </w:r>
            <w:r>
              <w:rPr>
                <w:rFonts w:hint="default" w:ascii="Times New Roman" w:hAnsi="Times New Roman" w:cs="Times New Roman"/>
                <w:i w:val="0"/>
                <w:iCs w:val="0"/>
                <w:snapToGrid w:val="0"/>
                <w:color w:val="000000"/>
                <w:kern w:val="0"/>
                <w:sz w:val="22"/>
                <w:szCs w:val="22"/>
                <w:highlight w:val="none"/>
                <w:u w:val="none"/>
                <w:lang w:val="en-US" w:eastAsia="zh-CN" w:bidi="ar"/>
              </w:rPr>
              <w:t>.</w:t>
            </w:r>
          </w:p>
        </w:tc>
      </w:tr>
      <w:tr w14:paraId="151ED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6"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DC0D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评价问题简要建议</w:t>
            </w:r>
          </w:p>
        </w:tc>
        <w:tc>
          <w:tcPr>
            <w:tcW w:w="11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2DE11">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r>
              <w:rPr>
                <w:rFonts w:hint="default" w:ascii="Times New Roman" w:hAnsi="Times New Roman" w:cs="Times New Roman"/>
                <w:i w:val="0"/>
                <w:iCs w:val="0"/>
                <w:snapToGrid w:val="0"/>
                <w:color w:val="000000"/>
                <w:kern w:val="0"/>
                <w:sz w:val="22"/>
                <w:szCs w:val="22"/>
                <w:highlight w:val="none"/>
                <w:u w:val="none"/>
                <w:lang w:val="en-US" w:eastAsia="zh-CN" w:bidi="ar"/>
              </w:rPr>
              <w:t>一</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）绩效管理方面：1.优化绩效指标体系设计。</w:t>
            </w:r>
          </w:p>
        </w:tc>
      </w:tr>
      <w:tr w14:paraId="48BE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15" w:hRule="atLeast"/>
          <w:jc w:val="center"/>
        </w:trPr>
        <w:tc>
          <w:tcPr>
            <w:tcW w:w="24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74C5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评价结果应用建议</w:t>
            </w:r>
          </w:p>
        </w:tc>
        <w:tc>
          <w:tcPr>
            <w:tcW w:w="110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E4CB0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本项目绩效评价结果为“优”，从绩效管理方面来看，克拉玛依区昆仑路街道办事处主要存在绩效指标设置不清晰、绩效编制精细度不足、项目制度不健全、项目中</w:t>
            </w:r>
            <w:bookmarkStart w:id="469" w:name="_GoBack"/>
            <w:bookmarkEnd w:id="469"/>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未进行动态调整等问题。因此，我司对本项目评价结果提出以下建议:</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一)对评价中发现的问题进行整改。建议克拉玛依区昆仑路街道办事处对发现的问题及时研究制定整改措施，确定整改期限，积极整改，加强制度建设，健全完善资金管理、项目管理和绩效管理等相关制度和办法，按期完成整改任务。</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二)下一年度预算安排。建议根据克拉玛依区昆仑路街道办事处按照预算绩效管理相关政策要求，将本次重点项目绩效评价结果作为次年类似资金安排的参考依据，逐步健全项目绩效管理激励约束机制，促使部门履行好预算绩效管理的主体责任，提升克拉玛依区昆仑路街道办事处预算编制的科学性精确性，绩效指标设置更明确更合理更全面，切实提高财政资源配置效率和使用效率。</w:t>
            </w:r>
          </w:p>
        </w:tc>
      </w:tr>
    </w:tbl>
    <w:p w14:paraId="104B5ED9">
      <w:pPr>
        <w:keepNext w:val="0"/>
        <w:keepLines w:val="0"/>
        <w:pageBreakBefore w:val="0"/>
        <w:wordWrap/>
        <w:overflowPunct/>
        <w:bidi w:val="0"/>
        <w:jc w:val="center"/>
        <w:rPr>
          <w:rFonts w:hint="default" w:ascii="Times New Roman" w:hAnsi="Times New Roman" w:eastAsia="仿宋_GB2312" w:cs="Times New Roman"/>
          <w:sz w:val="44"/>
          <w:szCs w:val="44"/>
          <w:highlight w:val="none"/>
          <w:lang w:val="en-US" w:eastAsia="zh-CN"/>
        </w:rPr>
      </w:pPr>
    </w:p>
    <w:p w14:paraId="36136E29">
      <w:pPr>
        <w:pStyle w:val="7"/>
        <w:rPr>
          <w:rFonts w:hint="default" w:ascii="Times New Roman" w:hAnsi="Times New Roman" w:eastAsia="宋体" w:cs="Times New Roman"/>
          <w:sz w:val="44"/>
          <w:szCs w:val="44"/>
          <w:highlight w:val="none"/>
          <w:lang w:val="en-US" w:eastAsia="zh-CN"/>
        </w:rPr>
        <w:sectPr>
          <w:headerReference r:id="rId6" w:type="default"/>
          <w:pgSz w:w="16838" w:h="11906" w:orient="landscape"/>
          <w:pgMar w:top="1800" w:right="1440" w:bottom="1800" w:left="1440" w:header="851" w:footer="992" w:gutter="0"/>
          <w:cols w:space="425" w:num="1"/>
          <w:docGrid w:type="lines" w:linePitch="312" w:charSpace="0"/>
        </w:sectPr>
      </w:pPr>
    </w:p>
    <w:p w14:paraId="0DB0B1B6">
      <w:pPr>
        <w:pStyle w:val="7"/>
        <w:rPr>
          <w:rFonts w:hint="default" w:ascii="Times New Roman" w:hAnsi="Times New Roman" w:eastAsia="宋体" w:cs="Times New Roman"/>
          <w:sz w:val="44"/>
          <w:szCs w:val="44"/>
          <w:highlight w:val="none"/>
          <w:lang w:val="en-US" w:eastAsia="zh-CN"/>
        </w:rPr>
      </w:pPr>
    </w:p>
    <w:p w14:paraId="13DF5DBB">
      <w:pPr>
        <w:pStyle w:val="2"/>
        <w:bidi w:val="0"/>
        <w:jc w:val="center"/>
        <w:rPr>
          <w:rFonts w:hint="default" w:ascii="Times New Roman" w:hAnsi="Times New Roman" w:cs="Times New Roman"/>
          <w:highlight w:val="none"/>
          <w:lang w:val="en-US" w:eastAsia="zh-CN"/>
        </w:rPr>
      </w:pPr>
      <w:bookmarkStart w:id="0" w:name="_Toc15772"/>
      <w:bookmarkStart w:id="1" w:name="_Toc5679"/>
      <w:bookmarkStart w:id="2" w:name="_Toc1026"/>
      <w:bookmarkStart w:id="3" w:name="_Toc3494"/>
      <w:bookmarkStart w:id="4" w:name="_Toc12267"/>
      <w:r>
        <w:rPr>
          <w:rFonts w:hint="default" w:ascii="Times New Roman" w:hAnsi="Times New Roman" w:cs="Times New Roman"/>
          <w:highlight w:val="none"/>
          <w:lang w:val="en-US" w:eastAsia="zh-CN"/>
        </w:rPr>
        <w:t>摘 要</w:t>
      </w:r>
      <w:bookmarkEnd w:id="0"/>
      <w:bookmarkEnd w:id="1"/>
      <w:bookmarkEnd w:id="2"/>
      <w:bookmarkEnd w:id="3"/>
      <w:bookmarkEnd w:id="4"/>
    </w:p>
    <w:p w14:paraId="67D5D10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受克拉玛依市克拉玛依区财政局委托，北京上计会计师事务所于2025年7月14日- 8月8日对克拉玛依市克拉玛依区昆仑路街道办事处管理的2024年国有企业退休人员社会化管理补助资金项目开展了绩效评价，评价情况如下：</w:t>
      </w:r>
    </w:p>
    <w:p w14:paraId="350985B9">
      <w:pPr>
        <w:pStyle w:val="3"/>
        <w:numPr>
          <w:ilvl w:val="0"/>
          <w:numId w:val="2"/>
        </w:numPr>
        <w:bidi w:val="0"/>
        <w:outlineLvl w:val="1"/>
        <w:rPr>
          <w:rFonts w:hint="default" w:ascii="Times New Roman" w:hAnsi="Times New Roman" w:cs="Times New Roman"/>
          <w:highlight w:val="none"/>
          <w:lang w:val="en-US" w:eastAsia="zh-CN"/>
        </w:rPr>
      </w:pPr>
      <w:bookmarkStart w:id="5" w:name="_Toc3443"/>
      <w:bookmarkStart w:id="6" w:name="_Toc29249"/>
      <w:bookmarkStart w:id="7" w:name="_Toc26426"/>
      <w:bookmarkStart w:id="8" w:name="_Toc13522"/>
      <w:bookmarkStart w:id="9" w:name="_Toc24363"/>
      <w:bookmarkStart w:id="10" w:name="_Toc12160"/>
      <w:r>
        <w:rPr>
          <w:rFonts w:hint="default" w:ascii="Times New Roman" w:hAnsi="Times New Roman" w:cs="Times New Roman"/>
          <w:highlight w:val="none"/>
          <w:lang w:val="en-US" w:eastAsia="zh-CN"/>
        </w:rPr>
        <w:t>基本情况</w:t>
      </w:r>
      <w:bookmarkEnd w:id="5"/>
      <w:bookmarkEnd w:id="6"/>
      <w:bookmarkEnd w:id="7"/>
      <w:bookmarkEnd w:id="8"/>
      <w:bookmarkEnd w:id="9"/>
      <w:bookmarkEnd w:id="10"/>
    </w:p>
    <w:p w14:paraId="266E94DA">
      <w:pPr>
        <w:pStyle w:val="3"/>
        <w:bidi w:val="0"/>
        <w:rPr>
          <w:rFonts w:hint="default" w:ascii="Times New Roman" w:hAnsi="Times New Roman" w:eastAsia="楷体" w:cs="Times New Roman"/>
          <w:b/>
          <w:bCs/>
          <w:highlight w:val="none"/>
          <w:lang w:val="en-US" w:eastAsia="zh-CN"/>
        </w:rPr>
      </w:pPr>
      <w:bookmarkStart w:id="11" w:name="_Toc16043"/>
      <w:bookmarkStart w:id="12" w:name="_Toc1820"/>
      <w:bookmarkStart w:id="13" w:name="_Toc30399"/>
      <w:bookmarkStart w:id="14" w:name="_Toc12009"/>
      <w:bookmarkStart w:id="15" w:name="_Toc15609"/>
      <w:bookmarkStart w:id="16" w:name="_Toc2176"/>
      <w:r>
        <w:rPr>
          <w:rFonts w:hint="default" w:ascii="Times New Roman" w:hAnsi="Times New Roman" w:eastAsia="楷体" w:cs="Times New Roman"/>
          <w:b/>
          <w:bCs/>
          <w:highlight w:val="none"/>
          <w:lang w:val="en-US" w:eastAsia="zh-CN"/>
        </w:rPr>
        <w:t>（一）项目概述</w:t>
      </w:r>
      <w:bookmarkEnd w:id="11"/>
      <w:bookmarkEnd w:id="12"/>
      <w:bookmarkEnd w:id="13"/>
      <w:bookmarkEnd w:id="14"/>
      <w:bookmarkEnd w:id="15"/>
      <w:bookmarkEnd w:id="16"/>
    </w:p>
    <w:p w14:paraId="41D0F1B3">
      <w:pPr>
        <w:keepNext w:val="0"/>
        <w:keepLines w:val="0"/>
        <w:pageBreakBefore w:val="0"/>
        <w:widowControl/>
        <w:kinsoku/>
        <w:wordWrap/>
        <w:overflowPunct/>
        <w:topLinePunct w:val="0"/>
        <w:autoSpaceDE/>
        <w:autoSpaceDN/>
        <w:bidi w:val="0"/>
        <w:adjustRightInd w:val="0"/>
        <w:snapToGrid w:val="0"/>
        <w:spacing w:line="560" w:lineRule="exact"/>
        <w:ind w:left="0" w:leftChars="0" w:firstLine="640" w:firstLineChars="0"/>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财政部国资委关于支持地方做好中央企业及原下放企业退休人员社会化管理工作的通知》(财资〔2020〕1号)和《自治区党委办公厅、自治区人民政府办公厅&lt;关于加快推进国有企业退休人员社会化管理的工作方案&gt;的通知》(新党厅字〔2019〕69号)的规定及要求，坚持政治尊重、思想引导、生活保障、精神关怀四位一体推进原则，着力构建退休人员社会化管理与社区现代化治理协同发展新格局。通过系统整合公共服务资源，优化升级社区服务功能，创新推行首接负责制、综合窗口受理、全周期帮办代办及标准化服务承诺机制，打造精准化、便捷化、高效化的养老服务体系。重点聚焦“老有所养、老有所医、老有所教、老有所学、老有所为、老有所乐”核心目标，强化政策衔接与资源倾斜，完善多元参与、供需匹配的服务供给模式。确保退休群体公平享有医疗康养、文化教育、价值实现等发展红利，切实增强获得感、幸福感、安全感，推动改革发展成果惠及国有企业退休人员。</w:t>
      </w:r>
    </w:p>
    <w:p w14:paraId="0ABE8FF0">
      <w:pPr>
        <w:pStyle w:val="4"/>
        <w:numPr>
          <w:ilvl w:val="0"/>
          <w:numId w:val="0"/>
        </w:numPr>
        <w:bidi w:val="0"/>
        <w:ind w:left="0" w:leftChars="0" w:firstLine="0" w:firstLineChars="0"/>
        <w:outlineLvl w:val="1"/>
        <w:rPr>
          <w:rFonts w:ascii="Times New Roman" w:hAnsi="Times New Roman" w:cs="Times New Roman"/>
          <w:highlight w:val="none"/>
        </w:rPr>
      </w:pPr>
      <w:bookmarkStart w:id="17" w:name="_Toc1842"/>
      <w:bookmarkStart w:id="18" w:name="_Toc12370"/>
      <w:bookmarkStart w:id="19" w:name="_Toc11401"/>
      <w:bookmarkStart w:id="20" w:name="_Toc22811"/>
      <w:bookmarkStart w:id="21" w:name="_Toc32555"/>
      <w:bookmarkStart w:id="22" w:name="_Toc810"/>
      <w:r>
        <w:rPr>
          <w:rFonts w:hint="default" w:ascii="Times New Roman" w:hAnsi="Times New Roman" w:eastAsia="楷体" w:cs="Times New Roman"/>
          <w:b/>
          <w:snapToGrid w:val="0"/>
          <w:color w:val="000000"/>
          <w:kern w:val="0"/>
          <w:sz w:val="32"/>
          <w:szCs w:val="32"/>
          <w:highlight w:val="none"/>
          <w:lang w:val="en-US" w:eastAsia="en-US" w:bidi="ar-SA"/>
        </w:rPr>
        <w:t>（二）</w:t>
      </w:r>
      <w:r>
        <w:rPr>
          <w:rFonts w:hint="default" w:ascii="Times New Roman" w:hAnsi="Times New Roman" w:cs="Times New Roman"/>
          <w:highlight w:val="none"/>
          <w:lang w:val="en-US" w:eastAsia="zh-CN"/>
        </w:rPr>
        <w:t>项目实施情况</w:t>
      </w:r>
      <w:bookmarkEnd w:id="17"/>
      <w:bookmarkEnd w:id="18"/>
      <w:bookmarkEnd w:id="19"/>
      <w:bookmarkEnd w:id="20"/>
      <w:bookmarkEnd w:id="21"/>
      <w:bookmarkEnd w:id="22"/>
    </w:p>
    <w:p w14:paraId="416FDBDA">
      <w:pPr>
        <w:numPr>
          <w:ilvl w:val="0"/>
          <w:numId w:val="0"/>
        </w:numPr>
        <w:bidi w:val="0"/>
        <w:ind w:left="0" w:leftChars="0" w:firstLine="640" w:firstLineChars="0"/>
        <w:outlineLvl w:val="2"/>
        <w:rPr>
          <w:rFonts w:hint="default" w:ascii="Times New Roman" w:hAnsi="Times New Roman" w:cs="Times New Roman"/>
          <w:highlight w:val="none"/>
          <w:lang w:val="en-US" w:eastAsia="zh-CN"/>
        </w:rPr>
      </w:pPr>
      <w:bookmarkStart w:id="23" w:name="_Toc21715"/>
      <w:bookmarkStart w:id="24" w:name="_Toc32722"/>
      <w:bookmarkStart w:id="25" w:name="_Toc31347"/>
      <w:bookmarkStart w:id="26" w:name="_Toc15201"/>
      <w:bookmarkStart w:id="27" w:name="_Toc29874"/>
      <w:bookmarkStart w:id="28" w:name="_Toc18774"/>
      <w:r>
        <w:rPr>
          <w:rFonts w:hint="default" w:ascii="Times New Roman" w:hAnsi="Times New Roman" w:cs="Times New Roman"/>
          <w:highlight w:val="none"/>
          <w:lang w:val="en-US" w:eastAsia="zh-CN"/>
        </w:rPr>
        <w:t>1.文体活动情况</w:t>
      </w:r>
      <w:bookmarkEnd w:id="23"/>
      <w:bookmarkEnd w:id="24"/>
      <w:bookmarkEnd w:id="25"/>
      <w:bookmarkEnd w:id="26"/>
      <w:bookmarkEnd w:id="27"/>
      <w:bookmarkEnd w:id="28"/>
    </w:p>
    <w:p w14:paraId="77DA47A0">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昆仑路街道各社区组织国企退休人员开展了丰富多彩的文体活动，服务覆盖率达100%。其中手工技艺类活动占比53%，共98场，重点组织艾草锤制作6场、颈枕缝制5场、永生花创作7场、彩绘工艺9场及扎染体验5场；非遗传承项目开展27场次，涵盖掐丝珐琅3场、金箔画2场、漆扇制作3场等特色内容。节庆主题活动实施32场次，包括端午节包粽子8场、中秋月饼制作5场及文艺汇演7场。同步推进红色观影16场、茶艺品鉴5场、博物馆参观4场等文化体验，并创新开展乡村振兴采摘1场、逢八赶集4场等实践。通过多元化活动载体，切实提升退休人员归属感与幸福感，全面达成"老有所乐、老有所学、老有所为"服务目标。</w:t>
      </w:r>
    </w:p>
    <w:p w14:paraId="5ACFA7A9">
      <w:pPr>
        <w:bidi w:val="0"/>
        <w:ind w:left="0" w:leftChars="0" w:firstLine="640" w:firstLineChars="0"/>
        <w:outlineLvl w:val="2"/>
        <w:rPr>
          <w:rFonts w:hint="default" w:ascii="Times New Roman" w:hAnsi="Times New Roman" w:cs="Times New Roman"/>
          <w:highlight w:val="none"/>
          <w:lang w:val="en-US" w:eastAsia="zh-CN"/>
        </w:rPr>
      </w:pPr>
      <w:bookmarkStart w:id="29" w:name="_Toc747"/>
      <w:bookmarkStart w:id="30" w:name="_Toc20100"/>
      <w:bookmarkStart w:id="31" w:name="_Toc22039"/>
      <w:bookmarkStart w:id="32" w:name="_Toc24601"/>
      <w:bookmarkStart w:id="33" w:name="_Toc202"/>
      <w:bookmarkStart w:id="34" w:name="_Toc13858"/>
      <w:r>
        <w:rPr>
          <w:rFonts w:hint="default" w:ascii="Times New Roman" w:hAnsi="Times New Roman" w:cs="Times New Roman"/>
          <w:highlight w:val="none"/>
          <w:lang w:val="en-US" w:eastAsia="zh-CN"/>
        </w:rPr>
        <w:t>2.保安保洁服务情况</w:t>
      </w:r>
      <w:bookmarkEnd w:id="29"/>
      <w:bookmarkEnd w:id="30"/>
      <w:bookmarkEnd w:id="31"/>
      <w:bookmarkEnd w:id="32"/>
      <w:bookmarkEnd w:id="33"/>
      <w:bookmarkEnd w:id="34"/>
    </w:p>
    <w:p w14:paraId="02197441">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昆仑路街道辖区各老年活动中心保安保洁服务，是做好国有企业退休人员实行社会化管理及服务保障工作的前提条件，且具有十分重要的意义，预计保安保洁服务费用为：12人*3319人/元*12个月=47.8万元，实际支付12人*3319人/元*9个月=35.85万元。</w:t>
      </w:r>
    </w:p>
    <w:p w14:paraId="784517D6">
      <w:pPr>
        <w:pStyle w:val="3"/>
        <w:bidi w:val="0"/>
        <w:rPr>
          <w:rFonts w:hint="default" w:ascii="Times New Roman" w:hAnsi="Times New Roman" w:eastAsia="楷体" w:cs="Times New Roman"/>
          <w:b/>
          <w:bCs/>
          <w:highlight w:val="none"/>
          <w:lang w:val="en-US" w:eastAsia="zh-CN"/>
        </w:rPr>
      </w:pPr>
      <w:bookmarkStart w:id="35" w:name="_Toc29278"/>
      <w:bookmarkStart w:id="36" w:name="_Toc4633"/>
      <w:bookmarkStart w:id="37" w:name="_Toc7796"/>
      <w:bookmarkStart w:id="38" w:name="_Toc13095"/>
      <w:bookmarkStart w:id="39" w:name="_Toc13361"/>
      <w:r>
        <w:rPr>
          <w:rFonts w:hint="default" w:ascii="Times New Roman" w:hAnsi="Times New Roman" w:eastAsia="楷体" w:cs="Times New Roman"/>
          <w:b/>
          <w:bCs/>
          <w:highlight w:val="none"/>
          <w:lang w:val="en-US" w:eastAsia="zh-CN"/>
        </w:rPr>
        <w:t>（三）绩效目标</w:t>
      </w:r>
      <w:bookmarkEnd w:id="35"/>
      <w:bookmarkEnd w:id="36"/>
      <w:bookmarkEnd w:id="37"/>
      <w:bookmarkEnd w:id="38"/>
      <w:bookmarkEnd w:id="39"/>
    </w:p>
    <w:p w14:paraId="61D544C6">
      <w:pPr>
        <w:numPr>
          <w:ilvl w:val="0"/>
          <w:numId w:val="0"/>
        </w:numPr>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1.总目标</w:t>
      </w:r>
    </w:p>
    <w:p w14:paraId="6B7BCAC7">
      <w:pPr>
        <w:numPr>
          <w:ilvl w:val="0"/>
          <w:numId w:val="0"/>
        </w:numPr>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依据《关于印发新疆维吾尔自治区国有企业退休人员社会化管理政府购买服务实施办法的通知》新政办发（2020）60号、《克拉玛依市国有企业退休人员社会化管理服务暂行办法》的通知 新克政发（2020）63号通知要求，全面做好国有企业退休人员实行社会化管理后的各项服务保障工作，进一步丰富辖区离退休人员的精神文化生活，增强离退休人员的归属感、获得感、幸福感，有着十分重要的意义。</w:t>
      </w:r>
    </w:p>
    <w:p w14:paraId="4B2EC94C">
      <w:pPr>
        <w:numPr>
          <w:ilvl w:val="0"/>
          <w:numId w:val="0"/>
        </w:numPr>
        <w:ind w:firstLine="640" w:firstLineChars="0"/>
        <w:rPr>
          <w:rFonts w:hint="default" w:ascii="Times New Roman" w:hAnsi="Times New Roman" w:cs="Times New Roman"/>
          <w:highlight w:val="none"/>
          <w:lang w:val="en-US" w:eastAsia="zh-CN"/>
        </w:rPr>
      </w:pPr>
      <w:r>
        <w:rPr>
          <w:rFonts w:hint="default" w:ascii="Times New Roman" w:hAnsi="Times New Roman" w:eastAsia="仿宋_GB2312" w:cs="Times New Roman"/>
          <w:snapToGrid w:val="0"/>
          <w:color w:val="000000"/>
          <w:kern w:val="0"/>
          <w:sz w:val="32"/>
          <w:szCs w:val="32"/>
          <w:highlight w:val="none"/>
          <w:lang w:val="en-US" w:eastAsia="zh-CN" w:bidi="ar-SA"/>
        </w:rPr>
        <w:t>2.</w:t>
      </w:r>
      <w:r>
        <w:rPr>
          <w:rFonts w:hint="default" w:ascii="Times New Roman" w:hAnsi="Times New Roman" w:cs="Times New Roman"/>
          <w:highlight w:val="none"/>
          <w:lang w:val="en-US" w:eastAsia="zh-CN"/>
        </w:rPr>
        <w:t>年度绩效目标</w:t>
      </w:r>
    </w:p>
    <w:p w14:paraId="5FA1F109">
      <w:pPr>
        <w:numPr>
          <w:ilvl w:val="0"/>
          <w:numId w:val="0"/>
        </w:numPr>
        <w:ind w:firstLine="640" w:firstLineChars="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依据克拉玛依区昆仑路街道办事处提供的国有企业退休人员社会化管理补助支出目标表，本项目年度绩效指标目标见下表：</w:t>
      </w:r>
    </w:p>
    <w:p w14:paraId="615AD5FB">
      <w:pPr>
        <w:numPr>
          <w:ilvl w:val="0"/>
          <w:numId w:val="0"/>
        </w:numPr>
        <w:ind w:firstLine="560" w:firstLineChars="0"/>
        <w:jc w:val="center"/>
        <w:rPr>
          <w:rFonts w:hint="default" w:ascii="Times New Roman" w:hAnsi="Times New Roman" w:cs="Times New Roman"/>
          <w:highlight w:val="none"/>
          <w:lang w:val="en-US" w:eastAsia="zh-CN"/>
        </w:rPr>
      </w:pPr>
      <w:r>
        <w:rPr>
          <w:rFonts w:hint="default" w:ascii="Times New Roman" w:hAnsi="Times New Roman" w:cs="Times New Roman"/>
          <w:b/>
          <w:color w:val="auto"/>
          <w:kern w:val="0"/>
          <w:sz w:val="24"/>
          <w:szCs w:val="24"/>
          <w:highlight w:val="none"/>
          <w:lang w:val="en-US" w:eastAsia="zh-CN"/>
        </w:rPr>
        <w:t xml:space="preserve">表1-1 </w:t>
      </w:r>
      <w:r>
        <w:rPr>
          <w:rFonts w:hint="default" w:ascii="Times New Roman" w:hAnsi="Times New Roman" w:eastAsia="仿宋_GB2312" w:cs="Times New Roman"/>
          <w:b/>
          <w:color w:val="auto"/>
          <w:kern w:val="0"/>
          <w:sz w:val="24"/>
          <w:szCs w:val="24"/>
          <w:highlight w:val="none"/>
        </w:rPr>
        <w:t>年度绩效目标表</w:t>
      </w:r>
    </w:p>
    <w:tbl>
      <w:tblPr>
        <w:tblStyle w:val="13"/>
        <w:tblW w:w="0" w:type="auto"/>
        <w:tblInd w:w="19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7"/>
        <w:gridCol w:w="1793"/>
        <w:gridCol w:w="3364"/>
        <w:gridCol w:w="1686"/>
      </w:tblGrid>
      <w:tr w14:paraId="38CF7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4" w:hRule="atLeast"/>
        </w:trPr>
        <w:tc>
          <w:tcPr>
            <w:tcW w:w="1317" w:type="dxa"/>
            <w:tcBorders>
              <w:top w:val="single" w:color="000000" w:sz="4" w:space="0"/>
              <w:left w:val="single" w:color="000000" w:sz="4" w:space="0"/>
              <w:bottom w:val="nil"/>
              <w:right w:val="single" w:color="000000" w:sz="4" w:space="0"/>
            </w:tcBorders>
            <w:shd w:val="clear" w:color="auto" w:fill="D7D7D7" w:themeFill="background1" w:themeFillShade="D8"/>
            <w:vAlign w:val="center"/>
          </w:tcPr>
          <w:p w14:paraId="7A2AF3E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793" w:type="dxa"/>
            <w:tcBorders>
              <w:top w:val="single" w:color="000000" w:sz="4" w:space="0"/>
              <w:left w:val="single" w:color="000000" w:sz="4" w:space="0"/>
              <w:bottom w:val="nil"/>
              <w:right w:val="single" w:color="000000" w:sz="4" w:space="0"/>
            </w:tcBorders>
            <w:shd w:val="clear" w:color="auto" w:fill="D7D7D7" w:themeFill="background1" w:themeFillShade="D8"/>
            <w:vAlign w:val="center"/>
          </w:tcPr>
          <w:p w14:paraId="76812B51">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3364" w:type="dxa"/>
            <w:tcBorders>
              <w:top w:val="single" w:color="000000" w:sz="4" w:space="0"/>
              <w:left w:val="single" w:color="000000" w:sz="4" w:space="0"/>
              <w:bottom w:val="nil"/>
              <w:right w:val="single" w:color="000000" w:sz="4" w:space="0"/>
            </w:tcBorders>
            <w:shd w:val="clear" w:color="auto" w:fill="D7D7D7" w:themeFill="background1" w:themeFillShade="D8"/>
            <w:vAlign w:val="center"/>
          </w:tcPr>
          <w:p w14:paraId="47848948">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1686" w:type="dxa"/>
            <w:tcBorders>
              <w:top w:val="single" w:color="000000" w:sz="4" w:space="0"/>
              <w:left w:val="single" w:color="000000" w:sz="4" w:space="0"/>
              <w:bottom w:val="nil"/>
              <w:right w:val="single" w:color="000000" w:sz="4" w:space="0"/>
            </w:tcBorders>
            <w:shd w:val="clear" w:color="auto" w:fill="D7D7D7" w:themeFill="background1" w:themeFillShade="D8"/>
            <w:vAlign w:val="center"/>
          </w:tcPr>
          <w:p w14:paraId="2EBB5C4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指标值</w:t>
            </w:r>
          </w:p>
        </w:tc>
      </w:tr>
      <w:tr w14:paraId="20E1D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3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845F7C">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产出指标</w:t>
            </w:r>
          </w:p>
        </w:tc>
        <w:tc>
          <w:tcPr>
            <w:tcW w:w="179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8D1961">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3DF7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覆盖退休站数量</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6DAA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=7个</w:t>
            </w:r>
          </w:p>
        </w:tc>
      </w:tr>
      <w:tr w14:paraId="3667C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44C58">
            <w:pPr>
              <w:pStyle w:val="18"/>
              <w:bidi w:val="0"/>
              <w:rPr>
                <w:rFonts w:hint="default" w:ascii="Times New Roman" w:hAnsi="Times New Roman" w:cs="Times New Roman"/>
                <w:highlight w:val="none"/>
              </w:rPr>
            </w:pPr>
          </w:p>
        </w:tc>
        <w:tc>
          <w:tcPr>
            <w:tcW w:w="1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12507D">
            <w:pPr>
              <w:pStyle w:val="18"/>
              <w:bidi w:val="0"/>
              <w:rPr>
                <w:rFonts w:hint="default" w:ascii="Times New Roman" w:hAnsi="Times New Roman" w:cs="Times New Roman"/>
                <w:highlight w:val="none"/>
              </w:rPr>
            </w:pP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659C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覆盖企业退休人员</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8280E">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9000人</w:t>
            </w:r>
          </w:p>
        </w:tc>
      </w:tr>
      <w:tr w14:paraId="48677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EA48D">
            <w:pPr>
              <w:pStyle w:val="18"/>
              <w:bidi w:val="0"/>
              <w:rPr>
                <w:rFonts w:hint="default" w:ascii="Times New Roman" w:hAnsi="Times New Roman" w:cs="Times New Roman"/>
                <w:highlight w:val="none"/>
              </w:rPr>
            </w:pPr>
          </w:p>
        </w:tc>
        <w:tc>
          <w:tcPr>
            <w:tcW w:w="179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1C1446">
            <w:pPr>
              <w:pStyle w:val="18"/>
              <w:bidi w:val="0"/>
              <w:rPr>
                <w:rFonts w:hint="default" w:ascii="Times New Roman" w:hAnsi="Times New Roman" w:cs="Times New Roman"/>
                <w:highlight w:val="none"/>
              </w:rPr>
            </w:pP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4CFF0">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支持保安保洁人员工资次数</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F4FC6">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12次</w:t>
            </w:r>
          </w:p>
        </w:tc>
      </w:tr>
      <w:tr w14:paraId="1DE0D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AE98E3">
            <w:pPr>
              <w:pStyle w:val="18"/>
              <w:bidi w:val="0"/>
              <w:rPr>
                <w:rFonts w:hint="default" w:ascii="Times New Roman" w:hAnsi="Times New Roman" w:cs="Times New Roman"/>
                <w:highlight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13FE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1BC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保障老年活动中心正常运转率</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D857">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85%</w:t>
            </w:r>
          </w:p>
        </w:tc>
      </w:tr>
      <w:tr w14:paraId="0AFD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2" w:hRule="atLeast"/>
        </w:trPr>
        <w:tc>
          <w:tcPr>
            <w:tcW w:w="13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80F45C">
            <w:pPr>
              <w:pStyle w:val="18"/>
              <w:bidi w:val="0"/>
              <w:rPr>
                <w:rFonts w:hint="default" w:ascii="Times New Roman" w:hAnsi="Times New Roman" w:cs="Times New Roman"/>
                <w:highlight w:val="none"/>
              </w:rPr>
            </w:pP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28D98">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21A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经费支付及时率</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9127">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90%</w:t>
            </w:r>
          </w:p>
        </w:tc>
      </w:tr>
      <w:tr w14:paraId="5B081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22EE6">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成本指标</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65B8">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经济成本指标</w:t>
            </w: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ED4B2">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支持保安保洁费用</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04CCA">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478000元</w:t>
            </w:r>
          </w:p>
        </w:tc>
      </w:tr>
      <w:tr w14:paraId="26C5E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8C51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效益指标</w:t>
            </w:r>
          </w:p>
        </w:tc>
        <w:tc>
          <w:tcPr>
            <w:tcW w:w="17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3DAB">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社会效益指标</w:t>
            </w:r>
          </w:p>
        </w:tc>
        <w:tc>
          <w:tcPr>
            <w:tcW w:w="3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EBCE6">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项目受益人数</w:t>
            </w:r>
          </w:p>
        </w:tc>
        <w:tc>
          <w:tcPr>
            <w:tcW w:w="16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11238">
            <w:pPr>
              <w:pStyle w:val="18"/>
              <w:bidi w:val="0"/>
              <w:rPr>
                <w:rFonts w:hint="default" w:ascii="Times New Roman" w:hAnsi="Times New Roman" w:cs="Times New Roman"/>
                <w:highlight w:val="none"/>
              </w:rPr>
            </w:pPr>
            <w:r>
              <w:rPr>
                <w:rFonts w:hint="eastAsia" w:cs="Times New Roman"/>
                <w:highlight w:val="none"/>
                <w:lang w:val="en-US" w:eastAsia="zh-CN"/>
              </w:rPr>
              <w:t>≥</w:t>
            </w:r>
            <w:r>
              <w:rPr>
                <w:rFonts w:hint="default" w:ascii="Times New Roman" w:hAnsi="Times New Roman" w:cs="Times New Roman"/>
                <w:highlight w:val="none"/>
                <w:lang w:val="en-US" w:eastAsia="zh-CN"/>
              </w:rPr>
              <w:t>700人</w:t>
            </w:r>
          </w:p>
        </w:tc>
      </w:tr>
    </w:tbl>
    <w:p w14:paraId="2B891BD1">
      <w:pPr>
        <w:numPr>
          <w:ilvl w:val="0"/>
          <w:numId w:val="0"/>
        </w:numPr>
        <w:rPr>
          <w:rFonts w:hint="default" w:ascii="Times New Roman" w:hAnsi="Times New Roman" w:cs="Times New Roman"/>
          <w:highlight w:val="none"/>
          <w:lang w:val="en-US" w:eastAsia="zh-CN"/>
        </w:rPr>
      </w:pPr>
    </w:p>
    <w:p w14:paraId="372262F5">
      <w:pPr>
        <w:pStyle w:val="3"/>
        <w:bidi w:val="0"/>
        <w:outlineLvl w:val="1"/>
        <w:rPr>
          <w:rFonts w:hint="default" w:ascii="Times New Roman" w:hAnsi="Times New Roman" w:cs="Times New Roman"/>
          <w:highlight w:val="none"/>
          <w:lang w:val="en-US" w:eastAsia="zh-CN"/>
        </w:rPr>
      </w:pPr>
      <w:bookmarkStart w:id="40" w:name="_Toc32625"/>
      <w:bookmarkStart w:id="41" w:name="_Toc2150"/>
      <w:bookmarkStart w:id="42" w:name="_Toc4301"/>
      <w:bookmarkStart w:id="43" w:name="_Toc23407"/>
      <w:bookmarkStart w:id="44" w:name="_Toc26813"/>
      <w:bookmarkStart w:id="45" w:name="_Toc19015"/>
      <w:r>
        <w:rPr>
          <w:rFonts w:hint="default" w:ascii="Times New Roman" w:hAnsi="Times New Roman" w:cs="Times New Roman"/>
          <w:highlight w:val="none"/>
          <w:lang w:val="en-US" w:eastAsia="zh-CN"/>
        </w:rPr>
        <w:t>二、绩效评价综合情况及结论</w:t>
      </w:r>
      <w:bookmarkEnd w:id="40"/>
      <w:bookmarkEnd w:id="41"/>
      <w:bookmarkEnd w:id="42"/>
      <w:bookmarkEnd w:id="43"/>
      <w:bookmarkEnd w:id="44"/>
      <w:bookmarkEnd w:id="45"/>
    </w:p>
    <w:p w14:paraId="0050BC1B">
      <w:pPr>
        <w:pStyle w:val="4"/>
        <w:bidi w:val="0"/>
        <w:outlineLvl w:val="1"/>
        <w:rPr>
          <w:rFonts w:hint="default" w:ascii="Times New Roman" w:hAnsi="Times New Roman" w:cs="Times New Roman"/>
          <w:highlight w:val="none"/>
          <w:lang w:val="en-US" w:eastAsia="zh-CN"/>
        </w:rPr>
      </w:pPr>
      <w:bookmarkStart w:id="46" w:name="_Toc23971"/>
      <w:bookmarkStart w:id="47" w:name="_Toc15058"/>
      <w:bookmarkStart w:id="48" w:name="_Toc13790"/>
      <w:bookmarkStart w:id="49" w:name="_Toc13679"/>
      <w:bookmarkStart w:id="50" w:name="_Toc17594"/>
      <w:bookmarkStart w:id="51" w:name="_Toc16609"/>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一</w:t>
      </w:r>
      <w:r>
        <w:rPr>
          <w:rFonts w:hint="default" w:ascii="Times New Roman" w:hAnsi="Times New Roman" w:cs="Times New Roman"/>
          <w:highlight w:val="none"/>
          <w:lang w:eastAsia="zh-CN"/>
        </w:rPr>
        <w:t>）</w:t>
      </w:r>
      <w:bookmarkEnd w:id="46"/>
      <w:r>
        <w:rPr>
          <w:rFonts w:hint="default" w:ascii="Times New Roman" w:hAnsi="Times New Roman" w:cs="Times New Roman"/>
          <w:highlight w:val="none"/>
          <w:lang w:val="en-US" w:eastAsia="zh-CN"/>
        </w:rPr>
        <w:t>评价结论</w:t>
      </w:r>
      <w:bookmarkEnd w:id="47"/>
      <w:bookmarkEnd w:id="48"/>
      <w:bookmarkEnd w:id="49"/>
      <w:bookmarkEnd w:id="50"/>
      <w:bookmarkEnd w:id="51"/>
    </w:p>
    <w:p w14:paraId="25A0C457">
      <w:pPr>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运用由评价组研发并通过主管单位确认的评价指标体系及评分标准，通过基础数据填报、问卷调查和访谈获取的数据及项目单位提供的资料，评价组对克拉玛依区昆仑路街道办事处主管的2024年国有企业退休人员社会化管理补助资金项目进行了独立客观的评价，最终评分结果为 99 分，评价等级为“优”，具体情况描述如下：</w:t>
      </w:r>
    </w:p>
    <w:p w14:paraId="56813F9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项目决策类指标权重为20分，得分为19分，得分率为95%，扣1分，主要原因是绩效指标设置不够合理。</w:t>
      </w:r>
    </w:p>
    <w:p w14:paraId="6FB6C199">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项目管理类指标权重为20分，得分为20分，得分率为100%。</w:t>
      </w:r>
    </w:p>
    <w:p w14:paraId="46FDFEF6">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项目产出类指标权重为40分，得分为40分，得分率为100%。</w:t>
      </w:r>
    </w:p>
    <w:p w14:paraId="062A3BBA">
      <w:pPr>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项目效益类指标权重为20分，得分为20分，得分率为100%。</w:t>
      </w:r>
    </w:p>
    <w:p w14:paraId="308EC45C">
      <w:pPr>
        <w:pStyle w:val="4"/>
        <w:bidi w:val="0"/>
        <w:outlineLvl w:val="1"/>
        <w:rPr>
          <w:rFonts w:hint="default" w:ascii="Times New Roman" w:hAnsi="Times New Roman" w:cs="Times New Roman"/>
          <w:highlight w:val="none"/>
          <w:lang w:val="en-US" w:eastAsia="zh-CN"/>
        </w:rPr>
      </w:pPr>
      <w:bookmarkStart w:id="52" w:name="_Toc29500"/>
      <w:bookmarkStart w:id="53" w:name="_Toc15200"/>
      <w:bookmarkStart w:id="54" w:name="_Toc4772"/>
      <w:bookmarkStart w:id="55" w:name="_Toc4428"/>
      <w:bookmarkStart w:id="56" w:name="_Toc12305"/>
      <w:bookmarkStart w:id="57" w:name="_Toc14256"/>
      <w:r>
        <w:rPr>
          <w:rFonts w:hint="default" w:ascii="Times New Roman" w:hAnsi="Times New Roman" w:cs="Times New Roman"/>
          <w:highlight w:val="none"/>
          <w:lang w:val="en-US" w:eastAsia="zh-CN"/>
        </w:rPr>
        <w:t>（二）</w:t>
      </w:r>
      <w:bookmarkEnd w:id="52"/>
      <w:r>
        <w:rPr>
          <w:rFonts w:hint="default" w:ascii="Times New Roman" w:hAnsi="Times New Roman" w:cs="Times New Roman"/>
          <w:highlight w:val="none"/>
          <w:lang w:val="en-US" w:eastAsia="zh-CN"/>
        </w:rPr>
        <w:t>预算执行情况</w:t>
      </w:r>
      <w:bookmarkEnd w:id="53"/>
      <w:bookmarkEnd w:id="54"/>
      <w:bookmarkEnd w:id="55"/>
      <w:bookmarkEnd w:id="56"/>
      <w:bookmarkEnd w:id="57"/>
    </w:p>
    <w:p w14:paraId="5884853D">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总体来说，该项目资金使用后社会效益效果较好，群众满意度高，建议财政部门在安排该项目次年预算资金时给予保障，应当力求延续项目能够持续有效开展，以期带来更高的社会效益及人民幸福感。</w:t>
      </w:r>
    </w:p>
    <w:p w14:paraId="0C20EB3C">
      <w:pPr>
        <w:pStyle w:val="4"/>
        <w:numPr>
          <w:ilvl w:val="0"/>
          <w:numId w:val="3"/>
        </w:numPr>
        <w:bidi w:val="0"/>
        <w:rPr>
          <w:rFonts w:hint="default" w:ascii="Times New Roman" w:hAnsi="Times New Roman" w:cs="Times New Roman"/>
          <w:highlight w:val="none"/>
          <w:lang w:val="en-US" w:eastAsia="zh-CN"/>
        </w:rPr>
      </w:pPr>
      <w:bookmarkStart w:id="58" w:name="_Toc30987"/>
      <w:bookmarkStart w:id="59" w:name="_Toc10965"/>
      <w:bookmarkStart w:id="60" w:name="_Toc7696"/>
      <w:bookmarkStart w:id="61" w:name="_Toc8361"/>
      <w:bookmarkStart w:id="62" w:name="_Toc9979"/>
      <w:r>
        <w:rPr>
          <w:rFonts w:hint="default" w:ascii="Times New Roman" w:hAnsi="Times New Roman" w:cs="Times New Roman"/>
          <w:highlight w:val="none"/>
          <w:lang w:val="en-US" w:eastAsia="zh-CN"/>
        </w:rPr>
        <w:t>项目绩效情况</w:t>
      </w:r>
      <w:bookmarkEnd w:id="58"/>
      <w:bookmarkEnd w:id="59"/>
      <w:bookmarkEnd w:id="60"/>
      <w:bookmarkEnd w:id="61"/>
      <w:bookmarkEnd w:id="62"/>
    </w:p>
    <w:p w14:paraId="1157E027">
      <w:pPr>
        <w:numPr>
          <w:ilvl w:val="0"/>
          <w:numId w:val="0"/>
        </w:numPr>
        <w:bidi w:val="0"/>
        <w:ind w:firstLine="56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昆仑路街道办事处扎实推进国有企业退休人员社会化管理服务工作，全年组织开展专项活动180余场，覆盖退休人员9101人。文体活动提质增效，重点实施手工技艺类项目98场次（含艾草锤制作、颈枕缝制、彩绘工艺、扎染体验等），节庆主题活动32场次（含包粽子、文艺汇演），文化体验活动25场次（含红色观影、茶艺品鉴）。红色教育深化引领，组织主题党日活动，联动开展“光影铸魂”红色主题观影活动16场次。通过多元化服务载体，切实提升退休人员归属感与幸福感，全面落实"老有所养、老有所乐、老有所为"目标。</w:t>
      </w:r>
    </w:p>
    <w:p w14:paraId="782B6EB1">
      <w:pPr>
        <w:pStyle w:val="3"/>
        <w:numPr>
          <w:ilvl w:val="0"/>
          <w:numId w:val="0"/>
        </w:numPr>
        <w:bidi w:val="0"/>
        <w:ind w:left="0" w:leftChars="0" w:firstLine="0" w:firstLineChars="0"/>
        <w:outlineLvl w:val="1"/>
        <w:rPr>
          <w:rFonts w:hint="default" w:ascii="Times New Roman" w:hAnsi="Times New Roman" w:cs="Times New Roman"/>
          <w:highlight w:val="none"/>
          <w:lang w:val="en-US" w:eastAsia="zh-CN"/>
        </w:rPr>
      </w:pPr>
      <w:bookmarkStart w:id="63" w:name="_Toc23760"/>
      <w:bookmarkStart w:id="64" w:name="_Toc12026"/>
      <w:bookmarkStart w:id="65" w:name="_Toc11658"/>
      <w:bookmarkStart w:id="66" w:name="_Toc2526"/>
      <w:bookmarkStart w:id="67" w:name="_Toc2802"/>
      <w:r>
        <w:rPr>
          <w:rFonts w:hint="default" w:ascii="Times New Roman" w:hAnsi="Times New Roman" w:cs="Times New Roman"/>
          <w:b/>
          <w:snapToGrid w:val="0"/>
          <w:color w:val="000000"/>
          <w:kern w:val="0"/>
          <w:sz w:val="32"/>
          <w:szCs w:val="28"/>
          <w:highlight w:val="none"/>
          <w:lang w:val="en-US" w:eastAsia="zh-CN" w:bidi="ar-SA"/>
        </w:rPr>
        <w:t>三</w:t>
      </w:r>
      <w:r>
        <w:rPr>
          <w:rFonts w:hint="default" w:ascii="Times New Roman" w:hAnsi="Times New Roman" w:eastAsia="黑体" w:cs="Times New Roman"/>
          <w:b/>
          <w:snapToGrid w:val="0"/>
          <w:color w:val="000000"/>
          <w:kern w:val="0"/>
          <w:sz w:val="32"/>
          <w:szCs w:val="28"/>
          <w:highlight w:val="none"/>
          <w:lang w:val="en-US" w:eastAsia="zh-CN" w:bidi="ar-SA"/>
        </w:rPr>
        <w:t>、</w:t>
      </w:r>
      <w:r>
        <w:rPr>
          <w:rFonts w:hint="default" w:ascii="Times New Roman" w:hAnsi="Times New Roman" w:cs="Times New Roman"/>
          <w:highlight w:val="none"/>
          <w:lang w:val="en-US" w:eastAsia="zh-CN"/>
        </w:rPr>
        <w:t>主要经验及做法</w:t>
      </w:r>
      <w:bookmarkEnd w:id="63"/>
      <w:bookmarkEnd w:id="64"/>
      <w:bookmarkEnd w:id="65"/>
      <w:bookmarkEnd w:id="66"/>
      <w:bookmarkEnd w:id="67"/>
    </w:p>
    <w:p w14:paraId="29DA73AA">
      <w:pPr>
        <w:numPr>
          <w:ilvl w:val="0"/>
          <w:numId w:val="0"/>
        </w:numPr>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明确项目主要受益对象为国有企业退休人员，确保补助资金按照上级政策文件规定用途使用，有效提升国有企业退休人员生活质量与幸福感。项目设计安排紧密围绕以上目的，遵守使用制度，确保在合规范围内最大限度地发挥资金效用。项目进行过程中，始终强调对国有企业退休人员的关心，满足国有企业退休人员精神文化需求，体现了党和政府对于国有企业退休人员的保障。昆仑路街道办事处全面履行辖区9101名国有企业退休人员属地化管理服务职责，依据居住地实施社区网格化精准对接。严格执行区退休人员社会化管理中心工作部署，建立健全动态信息核查机制、多维度政策宣导体系、常态化走访慰问制度及多元化文体活动，构建全链条服务保障。着力推进街道与退休管理站协同联动机制建设，畅通双向信息传导渠道，确保社会化管理改革任务高效落实。项目实施显著提升退休群体生活品质，强化自主管理能力，有效引导银龄人才贡献智慧力量，全面达成国有企业退休人员“交得稳、接得住、管得好”的社会化转型目标。</w:t>
      </w:r>
    </w:p>
    <w:p w14:paraId="444D19A7">
      <w:pPr>
        <w:pStyle w:val="3"/>
        <w:bidi w:val="0"/>
        <w:outlineLvl w:val="1"/>
        <w:rPr>
          <w:rFonts w:hint="default" w:ascii="Times New Roman" w:hAnsi="Times New Roman" w:eastAsia="宋体" w:cs="Times New Roman"/>
          <w:highlight w:val="none"/>
          <w:lang w:val="en-US" w:eastAsia="zh-CN"/>
        </w:rPr>
      </w:pPr>
      <w:bookmarkStart w:id="68" w:name="_Toc601"/>
      <w:bookmarkStart w:id="69" w:name="_Toc20716"/>
      <w:bookmarkStart w:id="70" w:name="_Toc15341"/>
      <w:bookmarkStart w:id="71" w:name="_Toc1246"/>
      <w:bookmarkStart w:id="72" w:name="_Toc2131"/>
      <w:bookmarkStart w:id="73" w:name="_Toc29592"/>
      <w:r>
        <w:rPr>
          <w:rFonts w:hint="default" w:ascii="Times New Roman" w:hAnsi="Times New Roman" w:cs="Times New Roman"/>
          <w:highlight w:val="none"/>
          <w:lang w:val="en-US" w:eastAsia="zh-CN"/>
        </w:rPr>
        <w:t>四、存在问题</w:t>
      </w:r>
      <w:bookmarkEnd w:id="68"/>
      <w:bookmarkEnd w:id="69"/>
      <w:bookmarkEnd w:id="70"/>
      <w:bookmarkEnd w:id="71"/>
      <w:bookmarkEnd w:id="72"/>
      <w:bookmarkEnd w:id="73"/>
    </w:p>
    <w:p w14:paraId="55791E67">
      <w:pPr>
        <w:pStyle w:val="4"/>
        <w:bidi w:val="0"/>
        <w:outlineLvl w:val="1"/>
        <w:rPr>
          <w:rFonts w:hint="default" w:ascii="Times New Roman" w:hAnsi="Times New Roman" w:eastAsia="宋体" w:cs="Times New Roman"/>
          <w:highlight w:val="none"/>
          <w:lang w:val="en-US" w:eastAsia="zh-CN"/>
        </w:rPr>
      </w:pPr>
      <w:bookmarkStart w:id="74" w:name="_Toc28566"/>
      <w:bookmarkStart w:id="75" w:name="_Toc32063"/>
      <w:bookmarkStart w:id="76" w:name="_Toc12189"/>
      <w:bookmarkStart w:id="77" w:name="_Toc10365"/>
      <w:bookmarkStart w:id="78" w:name="_Toc9422"/>
      <w:bookmarkStart w:id="79" w:name="_Toc23337"/>
      <w:r>
        <w:rPr>
          <w:rFonts w:hint="default" w:ascii="Times New Roman" w:hAnsi="Times New Roman" w:cs="Times New Roman"/>
          <w:highlight w:val="none"/>
          <w:lang w:val="en-US" w:eastAsia="zh-CN"/>
        </w:rPr>
        <w:t>（一）绩效管理方面</w:t>
      </w:r>
      <w:bookmarkEnd w:id="74"/>
      <w:bookmarkEnd w:id="75"/>
      <w:bookmarkEnd w:id="76"/>
      <w:bookmarkEnd w:id="77"/>
      <w:bookmarkEnd w:id="78"/>
      <w:bookmarkEnd w:id="79"/>
    </w:p>
    <w:p w14:paraId="31F0E838">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1.项目绩效指标设计不够合理</w:t>
      </w:r>
    </w:p>
    <w:p w14:paraId="4BBB610C">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在一级指标项目效益指标中，三级指标项目“项目受益人数”预期指标为≥700人，完成值为700人，指标表述不准确，建议改为（每个）项目活动受益人数；产出指标中三级指标“覆盖企业退休人员”预期指标为≥9000人，此指标为所有项目受益人数，与“项目受益人数”未形成逻辑关系，设计不合理。</w:t>
      </w:r>
    </w:p>
    <w:p w14:paraId="1608B61D">
      <w:pPr>
        <w:pStyle w:val="3"/>
        <w:bidi w:val="0"/>
        <w:outlineLvl w:val="1"/>
        <w:rPr>
          <w:rFonts w:hint="default" w:ascii="Times New Roman" w:hAnsi="Times New Roman" w:cs="Times New Roman"/>
          <w:highlight w:val="none"/>
          <w:lang w:val="en-US" w:eastAsia="zh-CN"/>
        </w:rPr>
      </w:pPr>
      <w:bookmarkStart w:id="80" w:name="_Toc29966"/>
      <w:bookmarkStart w:id="81" w:name="_Toc29034"/>
      <w:bookmarkStart w:id="82" w:name="_Toc21677"/>
      <w:bookmarkStart w:id="83" w:name="_Toc14619"/>
      <w:bookmarkStart w:id="84" w:name="_Toc27875"/>
      <w:bookmarkStart w:id="85" w:name="_Toc8293"/>
      <w:r>
        <w:rPr>
          <w:rFonts w:hint="default" w:ascii="Times New Roman" w:hAnsi="Times New Roman" w:cs="Times New Roman"/>
          <w:highlight w:val="none"/>
          <w:lang w:val="en-US" w:eastAsia="zh-CN"/>
        </w:rPr>
        <w:t>五、针对问题提出的建议</w:t>
      </w:r>
      <w:bookmarkEnd w:id="80"/>
      <w:bookmarkEnd w:id="81"/>
      <w:bookmarkEnd w:id="82"/>
      <w:bookmarkEnd w:id="83"/>
      <w:bookmarkEnd w:id="84"/>
      <w:bookmarkEnd w:id="85"/>
    </w:p>
    <w:p w14:paraId="0745FA69">
      <w:pPr>
        <w:pStyle w:val="4"/>
        <w:bidi w:val="0"/>
        <w:outlineLvl w:val="1"/>
        <w:rPr>
          <w:rFonts w:hint="default" w:ascii="Times New Roman" w:hAnsi="Times New Roman" w:cs="Times New Roman"/>
          <w:highlight w:val="none"/>
          <w:lang w:val="en-US" w:eastAsia="zh-CN"/>
        </w:rPr>
      </w:pPr>
      <w:bookmarkStart w:id="86" w:name="_Toc15148"/>
      <w:bookmarkStart w:id="87" w:name="_Toc820"/>
      <w:bookmarkStart w:id="88" w:name="_Toc10685"/>
      <w:bookmarkStart w:id="89" w:name="_Toc31420"/>
      <w:bookmarkStart w:id="90" w:name="_Toc30847"/>
      <w:bookmarkStart w:id="91" w:name="_Toc14744"/>
      <w:r>
        <w:rPr>
          <w:rFonts w:hint="default" w:ascii="Times New Roman" w:hAnsi="Times New Roman" w:cs="Times New Roman"/>
          <w:highlight w:val="none"/>
          <w:lang w:val="en-US" w:eastAsia="zh-CN"/>
        </w:rPr>
        <w:t>（一）绩效管理方面</w:t>
      </w:r>
      <w:bookmarkEnd w:id="86"/>
      <w:bookmarkEnd w:id="87"/>
      <w:bookmarkEnd w:id="88"/>
      <w:bookmarkEnd w:id="89"/>
      <w:bookmarkEnd w:id="90"/>
      <w:bookmarkEnd w:id="91"/>
    </w:p>
    <w:p w14:paraId="159D1E82">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1.优化绩效指标体系设计</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明确指标定义与统计口径，对每个指标如“项目受益人数”、“覆盖企业退休人员”给出清晰、无歧义的操作性定义，明确统计范围、方法和数据来源。区分产出、效益与满意度，清晰界定产出指标、效益指标和满意度指标，避免将不同层级的指标混为一谈。如“覆盖企业退休人员”更倾向于服务覆盖范围，“项目受益人数”可能更接近效益或实际参与度。</w:t>
      </w:r>
    </w:p>
    <w:p w14:paraId="4CCA24A8">
      <w:pPr>
        <w:pStyle w:val="3"/>
        <w:bidi w:val="0"/>
        <w:outlineLvl w:val="1"/>
        <w:rPr>
          <w:rFonts w:hint="default" w:ascii="Times New Roman" w:hAnsi="Times New Roman" w:cs="Times New Roman"/>
          <w:highlight w:val="none"/>
          <w:lang w:val="en-US" w:eastAsia="zh-CN"/>
        </w:rPr>
      </w:pPr>
      <w:bookmarkStart w:id="92" w:name="_Toc9318"/>
      <w:bookmarkStart w:id="93" w:name="_Toc13822"/>
      <w:bookmarkStart w:id="94" w:name="_Toc3503"/>
      <w:bookmarkStart w:id="95" w:name="_Toc14226"/>
      <w:bookmarkStart w:id="96" w:name="_Toc23015"/>
      <w:bookmarkStart w:id="97" w:name="_Toc2594"/>
      <w:r>
        <w:rPr>
          <w:rFonts w:hint="default" w:ascii="Times New Roman" w:hAnsi="Times New Roman" w:cs="Times New Roman"/>
          <w:highlight w:val="none"/>
          <w:lang w:val="en-US" w:eastAsia="zh-CN"/>
        </w:rPr>
        <w:t>六、绩效评价结果应用建议</w:t>
      </w:r>
      <w:bookmarkEnd w:id="92"/>
      <w:bookmarkEnd w:id="93"/>
      <w:bookmarkEnd w:id="94"/>
      <w:bookmarkEnd w:id="95"/>
      <w:bookmarkEnd w:id="96"/>
      <w:bookmarkEnd w:id="97"/>
    </w:p>
    <w:p w14:paraId="124ABD45">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绩效评价结果为“优”，从绩效管理方面来看，克拉玛依区昆仑路街道办事处主要存在绩效指标设置不清晰、绩效编制精细度不足、自评工作有缺陷，预算执行未按计划进行等问题。因此，我司对本项目评价结果提出以下建议：</w:t>
      </w:r>
    </w:p>
    <w:p w14:paraId="3A3C68D7">
      <w:pPr>
        <w:pStyle w:val="4"/>
        <w:bidi w:val="0"/>
        <w:outlineLvl w:val="1"/>
        <w:rPr>
          <w:rFonts w:hint="default" w:ascii="Times New Roman" w:hAnsi="Times New Roman" w:cs="Times New Roman"/>
          <w:highlight w:val="none"/>
          <w:lang w:val="en-US" w:eastAsia="zh-CN"/>
        </w:rPr>
      </w:pPr>
      <w:bookmarkStart w:id="98" w:name="_Toc22912"/>
      <w:bookmarkStart w:id="99" w:name="_Toc7783"/>
      <w:bookmarkStart w:id="100" w:name="_Toc7633"/>
      <w:bookmarkStart w:id="101" w:name="_Toc17554"/>
      <w:bookmarkStart w:id="102" w:name="_Toc23945"/>
      <w:bookmarkStart w:id="103" w:name="_Toc1768"/>
      <w:r>
        <w:rPr>
          <w:rFonts w:hint="default" w:ascii="Times New Roman" w:hAnsi="Times New Roman" w:cs="Times New Roman"/>
          <w:highlight w:val="none"/>
          <w:lang w:val="en-US" w:eastAsia="zh-CN"/>
        </w:rPr>
        <w:t>（一）对评价中发现的问题进行整改</w:t>
      </w:r>
      <w:bookmarkEnd w:id="98"/>
      <w:bookmarkEnd w:id="99"/>
      <w:bookmarkEnd w:id="100"/>
      <w:bookmarkEnd w:id="101"/>
      <w:bookmarkEnd w:id="102"/>
      <w:bookmarkEnd w:id="103"/>
    </w:p>
    <w:p w14:paraId="68DEAECB">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建议克拉玛依区昆仑路街道办事处对标对表、拉单列表，及时研究制定整改措施，确定整改期限，积极整改，加强制度建设，健全完善资金管理、项目管理和绩效管理等相关制度和办法，按期完成整改任务。</w:t>
      </w:r>
    </w:p>
    <w:p w14:paraId="0304E737">
      <w:pPr>
        <w:pStyle w:val="4"/>
        <w:bidi w:val="0"/>
        <w:outlineLvl w:val="1"/>
        <w:rPr>
          <w:rFonts w:hint="default" w:ascii="Times New Roman" w:hAnsi="Times New Roman" w:cs="Times New Roman"/>
          <w:highlight w:val="none"/>
          <w:lang w:val="en-US" w:eastAsia="zh-CN"/>
        </w:rPr>
      </w:pPr>
      <w:bookmarkStart w:id="104" w:name="_Toc32744"/>
      <w:bookmarkStart w:id="105" w:name="_Toc19641"/>
      <w:bookmarkStart w:id="106" w:name="_Toc4085"/>
      <w:bookmarkStart w:id="107" w:name="_Toc19450"/>
      <w:bookmarkStart w:id="108" w:name="_Toc11965"/>
      <w:bookmarkStart w:id="109" w:name="_Toc32367"/>
      <w:r>
        <w:rPr>
          <w:rFonts w:hint="default" w:ascii="Times New Roman" w:hAnsi="Times New Roman" w:cs="Times New Roman"/>
          <w:highlight w:val="none"/>
          <w:lang w:val="en-US" w:eastAsia="zh-CN"/>
        </w:rPr>
        <w:t>（二）下一年度预算安排</w:t>
      </w:r>
      <w:bookmarkEnd w:id="104"/>
      <w:bookmarkEnd w:id="105"/>
      <w:bookmarkEnd w:id="106"/>
      <w:bookmarkEnd w:id="107"/>
      <w:bookmarkEnd w:id="108"/>
      <w:bookmarkEnd w:id="109"/>
    </w:p>
    <w:p w14:paraId="1BE772E9">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建议根据克拉玛依区财政局关于预算绩效管理相关政策要求，将本次重点项目绩效评价结果作为克拉玛依区昆仑路街道办事处次年类 似资金安排的参考依据，逐步健全绩效管理激励约束机制，促使部门履行好预算绩效管理的主体责任，促进克拉玛依区昆仑路街道办事处的预算编制更精准更科学更完整，绩效目标设置更明确更细化更全面，切实提高财政资源配置效率和使用效率。</w:t>
      </w:r>
    </w:p>
    <w:p w14:paraId="671D4F58">
      <w:pPr>
        <w:pStyle w:val="4"/>
        <w:bidi w:val="0"/>
        <w:outlineLvl w:val="1"/>
        <w:rPr>
          <w:rFonts w:hint="default" w:ascii="Times New Roman" w:hAnsi="Times New Roman" w:cs="Times New Roman"/>
          <w:highlight w:val="none"/>
          <w:lang w:val="en-US" w:eastAsia="zh-CN"/>
        </w:rPr>
      </w:pPr>
      <w:bookmarkStart w:id="110" w:name="_Toc11663"/>
      <w:bookmarkStart w:id="111" w:name="_Toc27470"/>
      <w:bookmarkStart w:id="112" w:name="_Toc3462"/>
      <w:bookmarkStart w:id="113" w:name="_Toc14985"/>
      <w:bookmarkStart w:id="114" w:name="_Toc5492"/>
      <w:bookmarkStart w:id="115" w:name="_Toc10953"/>
      <w:r>
        <w:rPr>
          <w:rFonts w:hint="default" w:ascii="Times New Roman" w:hAnsi="Times New Roman" w:cs="Times New Roman"/>
          <w:highlight w:val="none"/>
          <w:lang w:val="en-US" w:eastAsia="zh-CN"/>
        </w:rPr>
        <w:t>（三）评价结果公开</w:t>
      </w:r>
      <w:bookmarkEnd w:id="110"/>
      <w:bookmarkEnd w:id="111"/>
      <w:bookmarkEnd w:id="112"/>
      <w:bookmarkEnd w:id="113"/>
      <w:bookmarkEnd w:id="114"/>
      <w:bookmarkEnd w:id="115"/>
    </w:p>
    <w:p w14:paraId="3AA69D2F">
      <w:pPr>
        <w:bidi w:val="0"/>
        <w:ind w:firstLine="640" w:firstLineChars="0"/>
        <w:rPr>
          <w:rFonts w:hint="default" w:ascii="Times New Roman" w:hAnsi="Times New Roman" w:eastAsia="宋体" w:cs="Times New Roman"/>
          <w:highlight w:val="none"/>
          <w:lang w:val="en-US" w:eastAsia="zh-CN"/>
        </w:rPr>
      </w:pPr>
      <w:r>
        <w:rPr>
          <w:rFonts w:hint="default" w:ascii="Times New Roman" w:hAnsi="Times New Roman" w:cs="Times New Roman"/>
          <w:highlight w:val="none"/>
          <w:lang w:val="en-US" w:eastAsia="zh-CN"/>
        </w:rPr>
        <w:t>建议按照政府信息公开等有关要求，遵循“谁组织实施、谁进行公开”的原则，根据上级统一部署，对绩效评价结果采取适度公开，不断提升绩效评价社会参与度。</w:t>
      </w:r>
    </w:p>
    <w:p w14:paraId="302CDE64">
      <w:pPr>
        <w:keepNext w:val="0"/>
        <w:keepLines w:val="0"/>
        <w:pageBreakBefore w:val="0"/>
        <w:wordWrap/>
        <w:overflowPunct/>
        <w:bidi w:val="0"/>
        <w:rPr>
          <w:rFonts w:hint="default" w:ascii="Times New Roman" w:hAnsi="Times New Roman" w:eastAsia="宋体" w:cs="Times New Roman"/>
          <w:highlight w:val="none"/>
          <w:lang w:val="en-US" w:eastAsia="zh-CN"/>
        </w:rPr>
        <w:sectPr>
          <w:pgSz w:w="11906" w:h="16838"/>
          <w:pgMar w:top="1440" w:right="1800" w:bottom="1440" w:left="1800" w:header="851" w:footer="992" w:gutter="0"/>
          <w:cols w:space="425" w:num="1"/>
          <w:docGrid w:type="lines" w:linePitch="312" w:charSpace="0"/>
        </w:sectPr>
      </w:pPr>
    </w:p>
    <w:sdt>
      <w:sdtPr>
        <w:rPr>
          <w:rFonts w:hint="default" w:ascii="Times New Roman" w:hAnsi="Times New Roman" w:eastAsia="黑体" w:cs="Times New Roman"/>
          <w:snapToGrid w:val="0"/>
          <w:color w:val="000000"/>
          <w:kern w:val="0"/>
          <w:sz w:val="44"/>
          <w:szCs w:val="44"/>
          <w:highlight w:val="none"/>
          <w:lang w:val="en-US" w:eastAsia="en-US" w:bidi="ar-SA"/>
        </w:rPr>
        <w:id w:val="147451284"/>
        <w15:color w:val="DBDBDB"/>
        <w:docPartObj>
          <w:docPartGallery w:val="Table of Contents"/>
          <w:docPartUnique/>
        </w:docPartObj>
      </w:sdtPr>
      <w:sdtEndPr>
        <w:rPr>
          <w:rFonts w:hint="default" w:ascii="Times New Roman" w:hAnsi="Times New Roman" w:eastAsia="宋体" w:cs="Times New Roman"/>
          <w:snapToGrid w:val="0"/>
          <w:color w:val="000000"/>
          <w:kern w:val="0"/>
          <w:sz w:val="44"/>
          <w:szCs w:val="44"/>
          <w:highlight w:val="none"/>
          <w:lang w:val="en-US" w:eastAsia="en-US" w:bidi="ar-SA"/>
        </w:rPr>
      </w:sdtEndPr>
      <w:sdtContent>
        <w:p w14:paraId="593DFDBF">
          <w:pPr>
            <w:keepNext w:val="0"/>
            <w:keepLines w:val="0"/>
            <w:pageBreakBefore w:val="0"/>
            <w:wordWrap/>
            <w:overflowPunct/>
            <w:bidi w:val="0"/>
            <w:spacing w:before="0" w:beforeLines="0" w:after="0" w:afterLines="0" w:line="240" w:lineRule="auto"/>
            <w:ind w:left="0" w:leftChars="0" w:right="0" w:rightChars="0" w:firstLine="0" w:firstLineChars="0"/>
            <w:jc w:val="center"/>
            <w:rPr>
              <w:rFonts w:hint="default" w:ascii="Times New Roman" w:hAnsi="Times New Roman" w:eastAsia="黑体" w:cs="Times New Roman"/>
              <w:sz w:val="44"/>
              <w:szCs w:val="44"/>
              <w:highlight w:val="none"/>
            </w:rPr>
          </w:pPr>
          <w:r>
            <w:rPr>
              <w:rFonts w:hint="default" w:ascii="Times New Roman" w:hAnsi="Times New Roman" w:eastAsia="黑体" w:cs="Times New Roman"/>
              <w:b/>
              <w:bCs/>
              <w:sz w:val="44"/>
              <w:szCs w:val="44"/>
              <w:highlight w:val="none"/>
            </w:rPr>
            <w:t>目录</w:t>
          </w:r>
        </w:p>
        <w:p w14:paraId="5D4B34A4">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TOC \o "1-3" \h \u </w:instrText>
          </w:r>
          <w:r>
            <w:rPr>
              <w:rFonts w:ascii="Times New Roman" w:hAnsi="Times New Roman" w:cs="Times New Roman"/>
              <w:highlight w:val="none"/>
            </w:rPr>
            <w:fldChar w:fldCharType="separate"/>
          </w: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_Toc3494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摘 要</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_Toc3494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4626688">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_Toc32581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一、基本情况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_Toc32581 \h </w:instrText>
          </w:r>
          <w:r>
            <w:rPr>
              <w:rFonts w:ascii="Times New Roman" w:hAnsi="Times New Roman" w:cs="Times New Roman"/>
              <w:highlight w:val="none"/>
            </w:rPr>
            <w:fldChar w:fldCharType="separate"/>
          </w:r>
          <w:r>
            <w:rPr>
              <w:rFonts w:ascii="Times New Roman" w:hAnsi="Times New Roman" w:cs="Times New Roman"/>
              <w:highlight w:val="none"/>
            </w:rPr>
            <w:t>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72A8CE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_Toc2745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（一）项目概况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_Toc2745 \h </w:instrText>
          </w:r>
          <w:r>
            <w:rPr>
              <w:rFonts w:ascii="Times New Roman" w:hAnsi="Times New Roman" w:cs="Times New Roman"/>
              <w:highlight w:val="none"/>
            </w:rPr>
            <w:fldChar w:fldCharType="separate"/>
          </w:r>
          <w:r>
            <w:rPr>
              <w:rFonts w:ascii="Times New Roman" w:hAnsi="Times New Roman" w:cs="Times New Roman"/>
              <w:highlight w:val="none"/>
            </w:rPr>
            <w:t>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DD1FE27">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_Toc31360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1.项目单位基本情况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_Toc31360 \h </w:instrText>
          </w:r>
          <w:r>
            <w:rPr>
              <w:rFonts w:ascii="Times New Roman" w:hAnsi="Times New Roman" w:cs="Times New Roman"/>
              <w:highlight w:val="none"/>
            </w:rPr>
            <w:fldChar w:fldCharType="separate"/>
          </w:r>
          <w:r>
            <w:rPr>
              <w:rFonts w:ascii="Times New Roman" w:hAnsi="Times New Roman" w:cs="Times New Roman"/>
              <w:highlight w:val="none"/>
            </w:rPr>
            <w:t>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59DD2E4">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_Toc2545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2.立项背景及目的</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_Toc2545 \h </w:instrText>
          </w:r>
          <w:r>
            <w:rPr>
              <w:rFonts w:ascii="Times New Roman" w:hAnsi="Times New Roman" w:cs="Times New Roman"/>
              <w:highlight w:val="none"/>
            </w:rPr>
            <w:fldChar w:fldCharType="separate"/>
          </w:r>
          <w:r>
            <w:rPr>
              <w:rFonts w:ascii="Times New Roman" w:hAnsi="Times New Roman" w:cs="Times New Roman"/>
              <w:highlight w:val="none"/>
            </w:rPr>
            <w:t>3</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99FADBD">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_Toc16319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（二）项目资金安排及使用情况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_Toc16319 \h </w:instrText>
          </w:r>
          <w:r>
            <w:rPr>
              <w:rFonts w:ascii="Times New Roman" w:hAnsi="Times New Roman" w:cs="Times New Roman"/>
              <w:highlight w:val="none"/>
            </w:rPr>
            <w:fldChar w:fldCharType="separate"/>
          </w:r>
          <w:r>
            <w:rPr>
              <w:rFonts w:ascii="Times New Roman" w:hAnsi="Times New Roman" w:cs="Times New Roman"/>
              <w:highlight w:val="none"/>
            </w:rPr>
            <w:t>4</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D2204DD">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_Toc12454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（三）项目内容及规模</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_Toc12454 \h </w:instrText>
          </w:r>
          <w:r>
            <w:rPr>
              <w:rFonts w:ascii="Times New Roman" w:hAnsi="Times New Roman" w:cs="Times New Roman"/>
              <w:highlight w:val="none"/>
            </w:rPr>
            <w:fldChar w:fldCharType="separate"/>
          </w:r>
          <w:r>
            <w:rPr>
              <w:rFonts w:ascii="Times New Roman" w:hAnsi="Times New Roman" w:cs="Times New Roman"/>
              <w:highlight w:val="none"/>
            </w:rPr>
            <w:t>4</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51A04D1">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_Toc10990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（四）项目绩效目标情况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_Toc10990 \h </w:instrText>
          </w:r>
          <w:r>
            <w:rPr>
              <w:rFonts w:ascii="Times New Roman" w:hAnsi="Times New Roman" w:cs="Times New Roman"/>
              <w:highlight w:val="none"/>
            </w:rPr>
            <w:fldChar w:fldCharType="separate"/>
          </w:r>
          <w:r>
            <w:rPr>
              <w:rFonts w:ascii="Times New Roman" w:hAnsi="Times New Roman" w:cs="Times New Roman"/>
              <w:highlight w:val="none"/>
            </w:rPr>
            <w:t>4</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E562BEA">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_Toc2376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（五）绩效自评情况及结论</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_Toc2376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0F01CD5">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_Toc10772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二、绩效评价组织情况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_Toc10772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7F4D3561">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_Toc27092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（一）绩效评价目的</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_Toc27092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C79A81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_Toc796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（二）绩效评价对象和范围</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_Toc796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2E44F1E">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_Toc12509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1.绩效评价对象</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_Toc12509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6E731BCE">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_Toc28985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2.绩效评价范围</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_Toc28985 \h </w:instrText>
          </w:r>
          <w:r>
            <w:rPr>
              <w:rFonts w:ascii="Times New Roman" w:hAnsi="Times New Roman" w:cs="Times New Roman"/>
              <w:highlight w:val="none"/>
            </w:rPr>
            <w:fldChar w:fldCharType="separate"/>
          </w:r>
          <w:r>
            <w:rPr>
              <w:rFonts w:ascii="Times New Roman" w:hAnsi="Times New Roman" w:cs="Times New Roman"/>
              <w:highlight w:val="none"/>
            </w:rPr>
            <w:t>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85CF92D">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_Toc28663 </w:instrText>
          </w:r>
          <w:r>
            <w:rPr>
              <w:rFonts w:ascii="Times New Roman" w:hAnsi="Times New Roman" w:cs="Times New Roman"/>
              <w:highlight w:val="none"/>
            </w:rPr>
            <w:fldChar w:fldCharType="separate"/>
          </w:r>
          <w:r>
            <w:rPr>
              <w:rFonts w:hint="default" w:ascii="Times New Roman" w:hAnsi="Times New Roman" w:eastAsia="宋体" w:cs="Times New Roman"/>
              <w:snapToGrid w:val="0"/>
              <w:spacing w:val="8"/>
              <w:kern w:val="0"/>
              <w:szCs w:val="32"/>
              <w:highlight w:val="none"/>
              <w:lang w:val="en-US" w:eastAsia="zh-CN" w:bidi="ar-SA"/>
            </w:rPr>
            <w:t>（</w:t>
          </w:r>
          <w:r>
            <w:rPr>
              <w:rFonts w:hint="default" w:ascii="Times New Roman" w:hAnsi="Times New Roman" w:cs="Times New Roman"/>
              <w:snapToGrid w:val="0"/>
              <w:spacing w:val="8"/>
              <w:kern w:val="0"/>
              <w:szCs w:val="32"/>
              <w:highlight w:val="none"/>
              <w:lang w:val="en-US" w:eastAsia="zh-CN" w:bidi="ar-SA"/>
            </w:rPr>
            <w:t>三</w:t>
          </w:r>
          <w:r>
            <w:rPr>
              <w:rFonts w:hint="default" w:ascii="Times New Roman" w:hAnsi="Times New Roman" w:eastAsia="宋体" w:cs="Times New Roman"/>
              <w:snapToGrid w:val="0"/>
              <w:spacing w:val="8"/>
              <w:kern w:val="0"/>
              <w:szCs w:val="32"/>
              <w:highlight w:val="none"/>
              <w:lang w:val="en-US" w:eastAsia="zh-CN" w:bidi="ar-SA"/>
            </w:rPr>
            <w:t>）</w:t>
          </w:r>
          <w:r>
            <w:rPr>
              <w:rFonts w:hint="default" w:ascii="Times New Roman" w:hAnsi="Times New Roman" w:cs="Times New Roman"/>
              <w:spacing w:val="8"/>
              <w:szCs w:val="32"/>
              <w:highlight w:val="none"/>
              <w:lang w:val="en-US" w:eastAsia="zh-CN"/>
            </w:rPr>
            <w:t>绩效评价原则</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_Toc28663 \h </w:instrText>
          </w:r>
          <w:r>
            <w:rPr>
              <w:rFonts w:ascii="Times New Roman" w:hAnsi="Times New Roman" w:cs="Times New Roman"/>
              <w:highlight w:val="none"/>
            </w:rPr>
            <w:fldChar w:fldCharType="separate"/>
          </w:r>
          <w:r>
            <w:rPr>
              <w:rFonts w:ascii="Times New Roman" w:hAnsi="Times New Roman" w:cs="Times New Roman"/>
              <w:highlight w:val="none"/>
            </w:rPr>
            <w:t>6</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8FC2EC7">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_Toc7736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（四）绩效评价依据</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_Toc7736 \h </w:instrText>
          </w:r>
          <w:r>
            <w:rPr>
              <w:rFonts w:ascii="Times New Roman" w:hAnsi="Times New Roman" w:cs="Times New Roman"/>
              <w:highlight w:val="none"/>
            </w:rPr>
            <w:fldChar w:fldCharType="separate"/>
          </w:r>
          <w:r>
            <w:rPr>
              <w:rFonts w:ascii="Times New Roman" w:hAnsi="Times New Roman" w:cs="Times New Roman"/>
              <w:highlight w:val="none"/>
            </w:rPr>
            <w:t>6</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CD2AC98">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_Toc5685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（五）绩效评价指标体系及标准</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_Toc5685 \h </w:instrText>
          </w:r>
          <w:r>
            <w:rPr>
              <w:rFonts w:ascii="Times New Roman" w:hAnsi="Times New Roman" w:cs="Times New Roman"/>
              <w:highlight w:val="none"/>
            </w:rPr>
            <w:fldChar w:fldCharType="separate"/>
          </w:r>
          <w:r>
            <w:rPr>
              <w:rFonts w:ascii="Times New Roman" w:hAnsi="Times New Roman" w:cs="Times New Roman"/>
              <w:highlight w:val="none"/>
            </w:rPr>
            <w:t>7</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8CAD8D7">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_Toc24433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1.绩效评价指标体系</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_Toc24433 \h </w:instrText>
          </w:r>
          <w:r>
            <w:rPr>
              <w:rFonts w:ascii="Times New Roman" w:hAnsi="Times New Roman" w:cs="Times New Roman"/>
              <w:highlight w:val="none"/>
            </w:rPr>
            <w:fldChar w:fldCharType="separate"/>
          </w:r>
          <w:r>
            <w:rPr>
              <w:rFonts w:ascii="Times New Roman" w:hAnsi="Times New Roman" w:cs="Times New Roman"/>
              <w:highlight w:val="none"/>
            </w:rPr>
            <w:t>7</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658E1E5">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_Toc985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（六）绩效评价方法</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_Toc985 \h </w:instrText>
          </w:r>
          <w:r>
            <w:rPr>
              <w:rFonts w:ascii="Times New Roman" w:hAnsi="Times New Roman" w:cs="Times New Roman"/>
              <w:highlight w:val="none"/>
            </w:rPr>
            <w:fldChar w:fldCharType="separate"/>
          </w:r>
          <w:r>
            <w:rPr>
              <w:rFonts w:ascii="Times New Roman" w:hAnsi="Times New Roman" w:cs="Times New Roman"/>
              <w:highlight w:val="none"/>
            </w:rPr>
            <w:t>8</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1F68E5F">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_Toc6970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1.因素分析法：</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_Toc6970 \h </w:instrText>
          </w:r>
          <w:r>
            <w:rPr>
              <w:rFonts w:ascii="Times New Roman" w:hAnsi="Times New Roman" w:cs="Times New Roman"/>
              <w:highlight w:val="none"/>
            </w:rPr>
            <w:fldChar w:fldCharType="separate"/>
          </w:r>
          <w:r>
            <w:rPr>
              <w:rFonts w:ascii="Times New Roman" w:hAnsi="Times New Roman" w:cs="Times New Roman"/>
              <w:highlight w:val="none"/>
            </w:rPr>
            <w:t>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03361C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_Toc30839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2.比较法：</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_Toc30839 \h </w:instrText>
          </w:r>
          <w:r>
            <w:rPr>
              <w:rFonts w:ascii="Times New Roman" w:hAnsi="Times New Roman" w:cs="Times New Roman"/>
              <w:highlight w:val="none"/>
            </w:rPr>
            <w:fldChar w:fldCharType="separate"/>
          </w:r>
          <w:r>
            <w:rPr>
              <w:rFonts w:ascii="Times New Roman" w:hAnsi="Times New Roman" w:cs="Times New Roman"/>
              <w:highlight w:val="none"/>
            </w:rPr>
            <w:t>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34138D4">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_Toc8976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3.公众评判法：</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_Toc8976 \h </w:instrText>
          </w:r>
          <w:r>
            <w:rPr>
              <w:rFonts w:ascii="Times New Roman" w:hAnsi="Times New Roman" w:cs="Times New Roman"/>
              <w:highlight w:val="none"/>
            </w:rPr>
            <w:fldChar w:fldCharType="separate"/>
          </w:r>
          <w:r>
            <w:rPr>
              <w:rFonts w:ascii="Times New Roman" w:hAnsi="Times New Roman" w:cs="Times New Roman"/>
              <w:highlight w:val="none"/>
            </w:rPr>
            <w:t>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2DA8FE1">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_Toc5896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（七）绩效评价工作过程</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_Toc5896 \h </w:instrText>
          </w:r>
          <w:r>
            <w:rPr>
              <w:rFonts w:ascii="Times New Roman" w:hAnsi="Times New Roman" w:cs="Times New Roman"/>
              <w:highlight w:val="none"/>
            </w:rPr>
            <w:fldChar w:fldCharType="separate"/>
          </w:r>
          <w:r>
            <w:rPr>
              <w:rFonts w:ascii="Times New Roman" w:hAnsi="Times New Roman" w:cs="Times New Roman"/>
              <w:highlight w:val="none"/>
            </w:rPr>
            <w:t>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6E8A2955">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_Toc28616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1.前期准备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_Toc28616 \h </w:instrText>
          </w:r>
          <w:r>
            <w:rPr>
              <w:rFonts w:ascii="Times New Roman" w:hAnsi="Times New Roman" w:cs="Times New Roman"/>
              <w:highlight w:val="none"/>
            </w:rPr>
            <w:fldChar w:fldCharType="separate"/>
          </w:r>
          <w:r>
            <w:rPr>
              <w:rFonts w:ascii="Times New Roman" w:hAnsi="Times New Roman" w:cs="Times New Roman"/>
              <w:highlight w:val="none"/>
            </w:rPr>
            <w:t>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7610DDF">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_Toc22469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2.组织实施</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_Toc22469 \h </w:instrText>
          </w:r>
          <w:r>
            <w:rPr>
              <w:rFonts w:ascii="Times New Roman" w:hAnsi="Times New Roman" w:cs="Times New Roman"/>
              <w:highlight w:val="none"/>
            </w:rPr>
            <w:fldChar w:fldCharType="separate"/>
          </w:r>
          <w:r>
            <w:rPr>
              <w:rFonts w:ascii="Times New Roman" w:hAnsi="Times New Roman" w:cs="Times New Roman"/>
              <w:highlight w:val="none"/>
            </w:rPr>
            <w:t>10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ABA9111">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_Toc22661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三、绩效评价综合情况及结论</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_Toc22661 \h </w:instrText>
          </w:r>
          <w:r>
            <w:rPr>
              <w:rFonts w:ascii="Times New Roman" w:hAnsi="Times New Roman" w:cs="Times New Roman"/>
              <w:highlight w:val="none"/>
            </w:rPr>
            <w:fldChar w:fldCharType="separate"/>
          </w:r>
          <w:r>
            <w:rPr>
              <w:rFonts w:ascii="Times New Roman" w:hAnsi="Times New Roman" w:cs="Times New Roman"/>
              <w:highlight w:val="none"/>
            </w:rPr>
            <w:t>11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093F06A">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_Toc15819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（一）绩效评价综合结论</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_Toc15819 \h </w:instrText>
          </w:r>
          <w:r>
            <w:rPr>
              <w:rFonts w:ascii="Times New Roman" w:hAnsi="Times New Roman" w:cs="Times New Roman"/>
              <w:highlight w:val="none"/>
            </w:rPr>
            <w:fldChar w:fldCharType="separate"/>
          </w:r>
          <w:r>
            <w:rPr>
              <w:rFonts w:ascii="Times New Roman" w:hAnsi="Times New Roman" w:cs="Times New Roman"/>
              <w:highlight w:val="none"/>
            </w:rPr>
            <w:t>11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C5AAEB4">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_Toc25174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（二）绩效目标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_Toc25174 \h </w:instrText>
          </w:r>
          <w:r>
            <w:rPr>
              <w:rFonts w:ascii="Times New Roman" w:hAnsi="Times New Roman" w:cs="Times New Roman"/>
              <w:highlight w:val="none"/>
            </w:rPr>
            <w:fldChar w:fldCharType="separate"/>
          </w:r>
          <w:r>
            <w:rPr>
              <w:rFonts w:ascii="Times New Roman" w:hAnsi="Times New Roman" w:cs="Times New Roman"/>
              <w:highlight w:val="none"/>
            </w:rPr>
            <w:t>13</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9561A96">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_Toc5836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四、绩效评价情况分析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_Toc5836 \h </w:instrText>
          </w:r>
          <w:r>
            <w:rPr>
              <w:rFonts w:ascii="Times New Roman" w:hAnsi="Times New Roman" w:cs="Times New Roman"/>
              <w:highlight w:val="none"/>
            </w:rPr>
            <w:fldChar w:fldCharType="separate"/>
          </w:r>
          <w:r>
            <w:rPr>
              <w:rFonts w:ascii="Times New Roman" w:hAnsi="Times New Roman" w:cs="Times New Roman"/>
              <w:highlight w:val="none"/>
            </w:rPr>
            <w:t>13</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E429858">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_Toc30103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（一）决策情况分析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_Toc30103 \h </w:instrText>
          </w:r>
          <w:r>
            <w:rPr>
              <w:rFonts w:ascii="Times New Roman" w:hAnsi="Times New Roman" w:cs="Times New Roman"/>
              <w:highlight w:val="none"/>
            </w:rPr>
            <w:fldChar w:fldCharType="separate"/>
          </w:r>
          <w:r>
            <w:rPr>
              <w:rFonts w:ascii="Times New Roman" w:hAnsi="Times New Roman" w:cs="Times New Roman"/>
              <w:highlight w:val="none"/>
            </w:rPr>
            <w:t>13</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C3A49C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_Toc32091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（二）管理情况分析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_Toc32091 \h </w:instrText>
          </w:r>
          <w:r>
            <w:rPr>
              <w:rFonts w:ascii="Times New Roman" w:hAnsi="Times New Roman" w:cs="Times New Roman"/>
              <w:highlight w:val="none"/>
            </w:rPr>
            <w:fldChar w:fldCharType="separate"/>
          </w:r>
          <w:r>
            <w:rPr>
              <w:rFonts w:ascii="Times New Roman" w:hAnsi="Times New Roman" w:cs="Times New Roman"/>
              <w:highlight w:val="none"/>
            </w:rPr>
            <w:t>15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9B1275D">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_Toc28561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（三）产出情况分析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_Toc28561 \h </w:instrText>
          </w:r>
          <w:r>
            <w:rPr>
              <w:rFonts w:ascii="Times New Roman" w:hAnsi="Times New Roman" w:cs="Times New Roman"/>
              <w:highlight w:val="none"/>
            </w:rPr>
            <w:fldChar w:fldCharType="separate"/>
          </w:r>
          <w:r>
            <w:rPr>
              <w:rFonts w:ascii="Times New Roman" w:hAnsi="Times New Roman" w:cs="Times New Roman"/>
              <w:highlight w:val="none"/>
            </w:rPr>
            <w:t>17</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5188D70">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_Toc23194 </w:instrText>
          </w:r>
          <w:r>
            <w:rPr>
              <w:rFonts w:ascii="Times New Roman" w:hAnsi="Times New Roman" w:cs="Times New Roman"/>
              <w:highlight w:val="none"/>
            </w:rPr>
            <w:fldChar w:fldCharType="separate"/>
          </w:r>
          <w:r>
            <w:rPr>
              <w:rFonts w:hint="default" w:ascii="Times New Roman" w:hAnsi="Times New Roman" w:cs="Times New Roman"/>
              <w:bCs w:val="0"/>
              <w:highlight w:val="none"/>
              <w:lang w:val="en-US" w:eastAsia="zh-CN"/>
            </w:rPr>
            <w:t>1.数量指标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_Toc23194 \h </w:instrText>
          </w:r>
          <w:r>
            <w:rPr>
              <w:rFonts w:ascii="Times New Roman" w:hAnsi="Times New Roman" w:cs="Times New Roman"/>
              <w:highlight w:val="none"/>
            </w:rPr>
            <w:fldChar w:fldCharType="separate"/>
          </w:r>
          <w:r>
            <w:rPr>
              <w:rFonts w:ascii="Times New Roman" w:hAnsi="Times New Roman" w:cs="Times New Roman"/>
              <w:highlight w:val="none"/>
            </w:rPr>
            <w:t>18</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BDD5B7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_Toc31215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2.质量指标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_Toc31215 \h </w:instrText>
          </w:r>
          <w:r>
            <w:rPr>
              <w:rFonts w:ascii="Times New Roman" w:hAnsi="Times New Roman" w:cs="Times New Roman"/>
              <w:highlight w:val="none"/>
            </w:rPr>
            <w:fldChar w:fldCharType="separate"/>
          </w:r>
          <w:r>
            <w:rPr>
              <w:rFonts w:ascii="Times New Roman" w:hAnsi="Times New Roman" w:cs="Times New Roman"/>
              <w:highlight w:val="none"/>
            </w:rPr>
            <w:t>18</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43A971D">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_Toc19024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3.时效指标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_Toc19024 \h </w:instrText>
          </w:r>
          <w:r>
            <w:rPr>
              <w:rFonts w:ascii="Times New Roman" w:hAnsi="Times New Roman" w:cs="Times New Roman"/>
              <w:highlight w:val="none"/>
            </w:rPr>
            <w:fldChar w:fldCharType="separate"/>
          </w:r>
          <w:r>
            <w:rPr>
              <w:rFonts w:ascii="Times New Roman" w:hAnsi="Times New Roman" w:cs="Times New Roman"/>
              <w:highlight w:val="none"/>
            </w:rPr>
            <w:t>19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C4654DF">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_Toc7934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4.成本指标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_Toc7934 \h </w:instrText>
          </w:r>
          <w:r>
            <w:rPr>
              <w:rFonts w:ascii="Times New Roman" w:hAnsi="Times New Roman" w:cs="Times New Roman"/>
              <w:highlight w:val="none"/>
            </w:rPr>
            <w:fldChar w:fldCharType="separate"/>
          </w:r>
          <w:r>
            <w:rPr>
              <w:rFonts w:ascii="Times New Roman" w:hAnsi="Times New Roman" w:cs="Times New Roman"/>
              <w:highlight w:val="none"/>
            </w:rPr>
            <w:t>19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70008D86">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_Toc7344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（四）效益情况分析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_Toc7344 \h </w:instrText>
          </w:r>
          <w:r>
            <w:rPr>
              <w:rFonts w:ascii="Times New Roman" w:hAnsi="Times New Roman" w:cs="Times New Roman"/>
              <w:highlight w:val="none"/>
            </w:rPr>
            <w:fldChar w:fldCharType="separate"/>
          </w:r>
          <w:r>
            <w:rPr>
              <w:rFonts w:ascii="Times New Roman" w:hAnsi="Times New Roman" w:cs="Times New Roman"/>
              <w:highlight w:val="none"/>
            </w:rPr>
            <w:t>19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7BC2A174">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_Toc2263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五、主要经验及做法</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_Toc2263 \h </w:instrText>
          </w:r>
          <w:r>
            <w:rPr>
              <w:rFonts w:ascii="Times New Roman" w:hAnsi="Times New Roman" w:cs="Times New Roman"/>
              <w:highlight w:val="none"/>
            </w:rPr>
            <w:fldChar w:fldCharType="separate"/>
          </w:r>
          <w:r>
            <w:rPr>
              <w:rFonts w:ascii="Times New Roman" w:hAnsi="Times New Roman" w:cs="Times New Roman"/>
              <w:highlight w:val="none"/>
            </w:rPr>
            <w:t>19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1C803612">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_Toc19290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六、 存在问题及原因分析</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_Toc19290 \h </w:instrText>
          </w:r>
          <w:r>
            <w:rPr>
              <w:rFonts w:ascii="Times New Roman" w:hAnsi="Times New Roman" w:cs="Times New Roman"/>
              <w:highlight w:val="none"/>
            </w:rPr>
            <w:fldChar w:fldCharType="separate"/>
          </w:r>
          <w:r>
            <w:rPr>
              <w:rFonts w:ascii="Times New Roman" w:hAnsi="Times New Roman" w:cs="Times New Roman"/>
              <w:highlight w:val="none"/>
            </w:rPr>
            <w:t>20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6CDEC6C5">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_Toc2782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（一）绩效管理方面</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_Toc2782 \h </w:instrText>
          </w:r>
          <w:r>
            <w:rPr>
              <w:rFonts w:ascii="Times New Roman" w:hAnsi="Times New Roman" w:cs="Times New Roman"/>
              <w:highlight w:val="none"/>
            </w:rPr>
            <w:fldChar w:fldCharType="separate"/>
          </w:r>
          <w:r>
            <w:rPr>
              <w:rFonts w:ascii="Times New Roman" w:hAnsi="Times New Roman" w:cs="Times New Roman"/>
              <w:highlight w:val="none"/>
            </w:rPr>
            <w:t>20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F2DDD58">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_Toc9049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七、针对问题提出的建议</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_Toc9049 \h </w:instrText>
          </w:r>
          <w:r>
            <w:rPr>
              <w:rFonts w:ascii="Times New Roman" w:hAnsi="Times New Roman" w:cs="Times New Roman"/>
              <w:highlight w:val="none"/>
            </w:rPr>
            <w:fldChar w:fldCharType="separate"/>
          </w:r>
          <w:r>
            <w:rPr>
              <w:rFonts w:ascii="Times New Roman" w:hAnsi="Times New Roman" w:cs="Times New Roman"/>
              <w:highlight w:val="none"/>
            </w:rPr>
            <w:t>20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7FC35C9C">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_Toc20545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（一）绩效管理方面</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_Toc20545 \h </w:instrText>
          </w:r>
          <w:r>
            <w:rPr>
              <w:rFonts w:ascii="Times New Roman" w:hAnsi="Times New Roman" w:cs="Times New Roman"/>
              <w:highlight w:val="none"/>
            </w:rPr>
            <w:fldChar w:fldCharType="separate"/>
          </w:r>
          <w:r>
            <w:rPr>
              <w:rFonts w:ascii="Times New Roman" w:hAnsi="Times New Roman" w:cs="Times New Roman"/>
              <w:highlight w:val="none"/>
            </w:rPr>
            <w:t>20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6018541">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_Toc8022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八、绩效评价结果应用建议</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_Toc8022 \h </w:instrText>
          </w:r>
          <w:r>
            <w:rPr>
              <w:rFonts w:ascii="Times New Roman" w:hAnsi="Times New Roman" w:cs="Times New Roman"/>
              <w:highlight w:val="none"/>
            </w:rPr>
            <w:fldChar w:fldCharType="separate"/>
          </w:r>
          <w:r>
            <w:rPr>
              <w:rFonts w:ascii="Times New Roman" w:hAnsi="Times New Roman" w:cs="Times New Roman"/>
              <w:highlight w:val="none"/>
            </w:rPr>
            <w:t>21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A31FF92">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_Toc21562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（一）对评价中发现的问题进行整改</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_Toc21562 \h </w:instrText>
          </w:r>
          <w:r>
            <w:rPr>
              <w:rFonts w:ascii="Times New Roman" w:hAnsi="Times New Roman" w:cs="Times New Roman"/>
              <w:highlight w:val="none"/>
            </w:rPr>
            <w:fldChar w:fldCharType="separate"/>
          </w:r>
          <w:r>
            <w:rPr>
              <w:rFonts w:ascii="Times New Roman" w:hAnsi="Times New Roman" w:cs="Times New Roman"/>
              <w:highlight w:val="none"/>
            </w:rPr>
            <w:t>21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7495A2AA">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_Toc24843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（二）下一年度预算安排</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_Toc24843 \h </w:instrText>
          </w:r>
          <w:r>
            <w:rPr>
              <w:rFonts w:ascii="Times New Roman" w:hAnsi="Times New Roman" w:cs="Times New Roman"/>
              <w:highlight w:val="none"/>
            </w:rPr>
            <w:fldChar w:fldCharType="separate"/>
          </w:r>
          <w:r>
            <w:rPr>
              <w:rFonts w:ascii="Times New Roman" w:hAnsi="Times New Roman" w:cs="Times New Roman"/>
              <w:highlight w:val="none"/>
            </w:rPr>
            <w:t>21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5B741D1C">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_Toc19663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（三）评价结果公开</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_Toc19663 \h </w:instrText>
          </w:r>
          <w:r>
            <w:rPr>
              <w:rFonts w:ascii="Times New Roman" w:hAnsi="Times New Roman" w:cs="Times New Roman"/>
              <w:highlight w:val="none"/>
            </w:rPr>
            <w:fldChar w:fldCharType="separate"/>
          </w:r>
          <w:r>
            <w:rPr>
              <w:rFonts w:ascii="Times New Roman" w:hAnsi="Times New Roman" w:cs="Times New Roman"/>
              <w:highlight w:val="none"/>
            </w:rPr>
            <w:t>22</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EC58659">
          <w:pPr>
            <w:pStyle w:val="12"/>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_Toc21708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九、 其他需要说明的情况</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_Toc21708 \h </w:instrText>
          </w:r>
          <w:r>
            <w:rPr>
              <w:rFonts w:ascii="Times New Roman" w:hAnsi="Times New Roman" w:cs="Times New Roman"/>
              <w:highlight w:val="none"/>
            </w:rPr>
            <w:fldChar w:fldCharType="separate"/>
          </w:r>
          <w:r>
            <w:rPr>
              <w:rFonts w:ascii="Times New Roman" w:hAnsi="Times New Roman" w:cs="Times New Roman"/>
              <w:highlight w:val="none"/>
            </w:rPr>
            <w:t>22</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44C7692">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_Toc5417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（一）关于评价责任的说明</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_Toc5417 \h </w:instrText>
          </w:r>
          <w:r>
            <w:rPr>
              <w:rFonts w:ascii="Times New Roman" w:hAnsi="Times New Roman" w:cs="Times New Roman"/>
              <w:highlight w:val="none"/>
            </w:rPr>
            <w:fldChar w:fldCharType="separate"/>
          </w:r>
          <w:r>
            <w:rPr>
              <w:rFonts w:ascii="Times New Roman" w:hAnsi="Times New Roman" w:cs="Times New Roman"/>
              <w:highlight w:val="none"/>
            </w:rPr>
            <w:t>22</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FE9ACF4">
          <w:pPr>
            <w:pStyle w:val="8"/>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_Toc23681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（二）本次绩效评价的局限性</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_Toc23681 \h </w:instrText>
          </w:r>
          <w:r>
            <w:rPr>
              <w:rFonts w:ascii="Times New Roman" w:hAnsi="Times New Roman" w:cs="Times New Roman"/>
              <w:highlight w:val="none"/>
            </w:rPr>
            <w:fldChar w:fldCharType="separate"/>
          </w:r>
          <w:r>
            <w:rPr>
              <w:rFonts w:ascii="Times New Roman" w:hAnsi="Times New Roman" w:cs="Times New Roman"/>
              <w:highlight w:val="none"/>
            </w:rPr>
            <w:t>22</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3441961">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_Toc30940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附件1：综合评分表</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_Toc30940 \h </w:instrText>
          </w:r>
          <w:r>
            <w:rPr>
              <w:rFonts w:ascii="Times New Roman" w:hAnsi="Times New Roman" w:cs="Times New Roman"/>
              <w:highlight w:val="none"/>
            </w:rPr>
            <w:fldChar w:fldCharType="separate"/>
          </w:r>
          <w:r>
            <w:rPr>
              <w:rFonts w:ascii="Times New Roman" w:hAnsi="Times New Roman" w:cs="Times New Roman"/>
              <w:highlight w:val="none"/>
            </w:rPr>
            <w:t>25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6AA10DAF">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_Toc27028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 xml:space="preserve">附件2：绩效评价报告征求部门意见反馈表 </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_Toc27028 \h </w:instrText>
          </w:r>
          <w:r>
            <w:rPr>
              <w:rFonts w:ascii="Times New Roman" w:hAnsi="Times New Roman" w:cs="Times New Roman"/>
              <w:highlight w:val="none"/>
            </w:rPr>
            <w:fldChar w:fldCharType="separate"/>
          </w:r>
          <w:r>
            <w:rPr>
              <w:rFonts w:ascii="Times New Roman" w:hAnsi="Times New Roman" w:cs="Times New Roman"/>
              <w:highlight w:val="none"/>
            </w:rPr>
            <w:t>40</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62ADC3F0">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_Toc12099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附件3：访谈报告</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_Toc12099 \h </w:instrText>
          </w:r>
          <w:r>
            <w:rPr>
              <w:rFonts w:ascii="Times New Roman" w:hAnsi="Times New Roman" w:cs="Times New Roman"/>
              <w:highlight w:val="none"/>
            </w:rPr>
            <w:fldChar w:fldCharType="separate"/>
          </w:r>
          <w:r>
            <w:rPr>
              <w:rFonts w:ascii="Times New Roman" w:hAnsi="Times New Roman" w:cs="Times New Roman"/>
              <w:highlight w:val="none"/>
            </w:rPr>
            <w:t>41</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3A6E4EB7">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_Toc6948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附件4：满意度调查问卷</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_Toc6948 \h </w:instrText>
          </w:r>
          <w:r>
            <w:rPr>
              <w:rFonts w:ascii="Times New Roman" w:hAnsi="Times New Roman" w:cs="Times New Roman"/>
              <w:highlight w:val="none"/>
            </w:rPr>
            <w:fldChar w:fldCharType="separate"/>
          </w:r>
          <w:r>
            <w:rPr>
              <w:rFonts w:ascii="Times New Roman" w:hAnsi="Times New Roman" w:cs="Times New Roman"/>
              <w:highlight w:val="none"/>
            </w:rPr>
            <w:t>45</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459D03C0">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_Toc17871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附件5：现场调研照片</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_Toc17871 \h </w:instrText>
          </w:r>
          <w:r>
            <w:rPr>
              <w:rFonts w:ascii="Times New Roman" w:hAnsi="Times New Roman" w:cs="Times New Roman"/>
              <w:highlight w:val="none"/>
            </w:rPr>
            <w:fldChar w:fldCharType="separate"/>
          </w:r>
          <w:r>
            <w:rPr>
              <w:rFonts w:ascii="Times New Roman" w:hAnsi="Times New Roman" w:cs="Times New Roman"/>
              <w:highlight w:val="none"/>
            </w:rPr>
            <w:t>47</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2052BF4A">
          <w:pPr>
            <w:pStyle w:val="11"/>
            <w:tabs>
              <w:tab w:val="right" w:leader="dot" w:pos="8306"/>
            </w:tabs>
            <w:rPr>
              <w:rFonts w:ascii="Times New Roman" w:hAnsi="Times New Roman" w:cs="Times New Roman"/>
              <w:highlight w:val="none"/>
            </w:rPr>
          </w:pPr>
          <w:r>
            <w:rPr>
              <w:rFonts w:ascii="Times New Roman" w:hAnsi="Times New Roman" w:cs="Times New Roman"/>
              <w:highlight w:val="none"/>
            </w:rPr>
            <w:fldChar w:fldCharType="begin"/>
          </w:r>
          <w:r>
            <w:rPr>
              <w:rFonts w:ascii="Times New Roman" w:hAnsi="Times New Roman" w:cs="Times New Roman"/>
              <w:highlight w:val="none"/>
            </w:rPr>
            <w:instrText xml:space="preserve"> HYPERLINK \l _Toc12271 </w:instrText>
          </w:r>
          <w:r>
            <w:rPr>
              <w:rFonts w:ascii="Times New Roman" w:hAnsi="Times New Roman" w:cs="Times New Roman"/>
              <w:highlight w:val="none"/>
            </w:rPr>
            <w:fldChar w:fldCharType="separate"/>
          </w:r>
          <w:r>
            <w:rPr>
              <w:rFonts w:hint="default" w:ascii="Times New Roman" w:hAnsi="Times New Roman" w:cs="Times New Roman"/>
              <w:highlight w:val="none"/>
              <w:lang w:val="en-US" w:eastAsia="zh-CN"/>
            </w:rPr>
            <w:t xml:space="preserve">附件6：项目单位自评 </w:t>
          </w:r>
          <w:r>
            <w:rPr>
              <w:rFonts w:ascii="Times New Roman" w:hAnsi="Times New Roman" w:cs="Times New Roman"/>
              <w:highlight w:val="none"/>
            </w:rPr>
            <w:tab/>
          </w:r>
          <w:r>
            <w:rPr>
              <w:rFonts w:ascii="Times New Roman" w:hAnsi="Times New Roman" w:cs="Times New Roman"/>
              <w:highlight w:val="none"/>
            </w:rPr>
            <w:fldChar w:fldCharType="begin"/>
          </w:r>
          <w:r>
            <w:rPr>
              <w:rFonts w:ascii="Times New Roman" w:hAnsi="Times New Roman" w:cs="Times New Roman"/>
              <w:highlight w:val="none"/>
            </w:rPr>
            <w:instrText xml:space="preserve"> PAGEREF _Toc12271 \h </w:instrText>
          </w:r>
          <w:r>
            <w:rPr>
              <w:rFonts w:ascii="Times New Roman" w:hAnsi="Times New Roman" w:cs="Times New Roman"/>
              <w:highlight w:val="none"/>
            </w:rPr>
            <w:fldChar w:fldCharType="separate"/>
          </w:r>
          <w:r>
            <w:rPr>
              <w:rFonts w:ascii="Times New Roman" w:hAnsi="Times New Roman" w:cs="Times New Roman"/>
              <w:highlight w:val="none"/>
            </w:rPr>
            <w:t>49</w:t>
          </w:r>
          <w:r>
            <w:rPr>
              <w:rFonts w:ascii="Times New Roman" w:hAnsi="Times New Roman" w:cs="Times New Roman"/>
              <w:highlight w:val="none"/>
            </w:rPr>
            <w:fldChar w:fldCharType="end"/>
          </w:r>
          <w:r>
            <w:rPr>
              <w:rFonts w:ascii="Times New Roman" w:hAnsi="Times New Roman" w:cs="Times New Roman"/>
              <w:highlight w:val="none"/>
            </w:rPr>
            <w:fldChar w:fldCharType="end"/>
          </w:r>
        </w:p>
        <w:p w14:paraId="0E789423">
          <w:pPr>
            <w:keepNext w:val="0"/>
            <w:keepLines w:val="0"/>
            <w:pageBreakBefore w:val="0"/>
            <w:tabs>
              <w:tab w:val="left" w:pos="556"/>
            </w:tabs>
            <w:wordWrap/>
            <w:overflowPunct/>
            <w:bidi w:val="0"/>
            <w:spacing w:line="240" w:lineRule="auto"/>
            <w:rPr>
              <w:rFonts w:ascii="Times New Roman" w:hAnsi="Times New Roman" w:cs="Times New Roman"/>
              <w:highlight w:val="none"/>
            </w:rPr>
          </w:pPr>
          <w:r>
            <w:rPr>
              <w:rFonts w:ascii="Times New Roman" w:hAnsi="Times New Roman" w:cs="Times New Roman"/>
              <w:highlight w:val="none"/>
            </w:rPr>
            <w:fldChar w:fldCharType="end"/>
          </w:r>
        </w:p>
      </w:sdtContent>
    </w:sdt>
    <w:p w14:paraId="39EB0843">
      <w:pPr>
        <w:pStyle w:val="2"/>
        <w:keepNext/>
        <w:keepLines/>
        <w:pageBreakBefore w:val="0"/>
        <w:widowControl/>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highlight w:val="none"/>
          <w:lang w:val="en-US" w:eastAsia="zh-CN"/>
        </w:rPr>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pPr>
      <w:bookmarkStart w:id="116" w:name="_Toc15886"/>
    </w:p>
    <w:p w14:paraId="68609565">
      <w:pPr>
        <w:pStyle w:val="2"/>
        <w:keepNext/>
        <w:keepLines/>
        <w:pageBreakBefore w:val="0"/>
        <w:widowControl/>
        <w:kinsoku/>
        <w:wordWrap/>
        <w:overflowPunct/>
        <w:topLinePunct w:val="0"/>
        <w:autoSpaceDE/>
        <w:autoSpaceDN/>
        <w:bidi w:val="0"/>
        <w:adjustRightInd w:val="0"/>
        <w:snapToGrid w:val="0"/>
        <w:spacing w:line="240" w:lineRule="auto"/>
        <w:jc w:val="center"/>
        <w:textAlignment w:val="baseline"/>
        <w:rPr>
          <w:rFonts w:hint="default" w:ascii="Times New Roman" w:hAnsi="Times New Roman" w:cs="Times New Roman"/>
          <w:highlight w:val="none"/>
          <w:lang w:val="en-US" w:eastAsia="zh-CN"/>
        </w:rPr>
      </w:pPr>
      <w:bookmarkStart w:id="117" w:name="_Toc24644"/>
      <w:bookmarkStart w:id="118" w:name="_Toc17891"/>
      <w:bookmarkStart w:id="119" w:name="_Toc31960"/>
      <w:bookmarkStart w:id="120" w:name="_Toc25673"/>
      <w:bookmarkStart w:id="121" w:name="_Toc3480"/>
      <w:r>
        <w:rPr>
          <w:rFonts w:hint="default" w:ascii="Times New Roman" w:hAnsi="Times New Roman" w:cs="Times New Roman"/>
          <w:highlight w:val="none"/>
          <w:lang w:val="en-US" w:eastAsia="zh-CN"/>
        </w:rPr>
        <w:t>2024年国有企业退休人员社会化管理补助资金项目绩效评价报告</w:t>
      </w:r>
      <w:bookmarkEnd w:id="116"/>
      <w:bookmarkEnd w:id="117"/>
      <w:bookmarkEnd w:id="118"/>
      <w:bookmarkEnd w:id="119"/>
      <w:bookmarkEnd w:id="120"/>
      <w:bookmarkEnd w:id="121"/>
    </w:p>
    <w:p w14:paraId="03C9AC23">
      <w:pPr>
        <w:bidi w:val="0"/>
        <w:ind w:firstLine="560" w:firstLineChars="0"/>
        <w:rPr>
          <w:rFonts w:hint="default" w:ascii="Times New Roman" w:hAnsi="Times New Roman" w:cs="Times New Roman"/>
          <w:highlight w:val="none"/>
        </w:rPr>
      </w:pPr>
      <w:r>
        <w:rPr>
          <w:rFonts w:hint="default" w:ascii="Times New Roman" w:hAnsi="Times New Roman" w:cs="Times New Roman"/>
          <w:highlight w:val="none"/>
        </w:rPr>
        <w:t>为贯彻落实全面实施预算绩效管理，强化预算单位预算绩效管理责任</w:t>
      </w:r>
      <w:r>
        <w:rPr>
          <w:rFonts w:hint="default" w:ascii="Times New Roman" w:hAnsi="Times New Roman" w:cs="Times New Roman"/>
          <w:highlight w:val="none"/>
          <w:lang w:eastAsia="zh-CN"/>
        </w:rPr>
        <w:t>，</w:t>
      </w:r>
      <w:r>
        <w:rPr>
          <w:rFonts w:hint="default" w:ascii="Times New Roman" w:hAnsi="Times New Roman" w:cs="Times New Roman"/>
          <w:highlight w:val="none"/>
          <w:lang w:val="en-US" w:eastAsia="zh-CN"/>
        </w:rPr>
        <w:t>克拉玛依市</w:t>
      </w:r>
      <w:r>
        <w:rPr>
          <w:rFonts w:hint="default" w:ascii="Times New Roman" w:hAnsi="Times New Roman" w:cs="Times New Roman"/>
          <w:highlight w:val="none"/>
        </w:rPr>
        <w:t>克拉玛依</w:t>
      </w:r>
      <w:r>
        <w:rPr>
          <w:rFonts w:hint="default" w:ascii="Times New Roman" w:hAnsi="Times New Roman" w:cs="Times New Roman"/>
          <w:highlight w:val="none"/>
          <w:lang w:val="en-US" w:eastAsia="zh-CN"/>
        </w:rPr>
        <w:t>区</w:t>
      </w:r>
      <w:r>
        <w:rPr>
          <w:rFonts w:hint="default" w:ascii="Times New Roman" w:hAnsi="Times New Roman" w:cs="Times New Roman"/>
          <w:highlight w:val="none"/>
        </w:rPr>
        <w:t>财政局委托</w:t>
      </w:r>
      <w:r>
        <w:rPr>
          <w:rFonts w:hint="default" w:ascii="Times New Roman" w:hAnsi="Times New Roman" w:cs="Times New Roman"/>
          <w:highlight w:val="none"/>
          <w:lang w:val="en-US" w:eastAsia="zh-CN"/>
        </w:rPr>
        <w:t>北京上计会计师事务所</w:t>
      </w:r>
      <w:r>
        <w:rPr>
          <w:rFonts w:hint="default" w:ascii="Times New Roman" w:hAnsi="Times New Roman" w:cs="Times New Roman"/>
          <w:highlight w:val="none"/>
        </w:rPr>
        <w:t>成立绩效评价工作组，于202</w:t>
      </w:r>
      <w:r>
        <w:rPr>
          <w:rFonts w:hint="default" w:ascii="Times New Roman" w:hAnsi="Times New Roman" w:cs="Times New Roman"/>
          <w:highlight w:val="none"/>
          <w:lang w:val="en-US" w:eastAsia="zh-CN"/>
        </w:rPr>
        <w:t>5年</w:t>
      </w:r>
      <w:r>
        <w:rPr>
          <w:rFonts w:hint="default" w:ascii="Times New Roman" w:hAnsi="Times New Roman" w:cs="Times New Roman"/>
          <w:highlight w:val="none"/>
        </w:rPr>
        <w:t>7月</w:t>
      </w:r>
      <w:r>
        <w:rPr>
          <w:rFonts w:hint="default" w:ascii="Times New Roman" w:hAnsi="Times New Roman" w:cs="Times New Roman"/>
          <w:highlight w:val="none"/>
          <w:lang w:val="en-US" w:eastAsia="zh-CN"/>
        </w:rPr>
        <w:t>13</w:t>
      </w:r>
      <w:r>
        <w:rPr>
          <w:rFonts w:hint="default" w:ascii="Times New Roman" w:hAnsi="Times New Roman" w:cs="Times New Roman"/>
          <w:highlight w:val="none"/>
        </w:rPr>
        <w:t>日-</w:t>
      </w:r>
      <w:r>
        <w:rPr>
          <w:rFonts w:hint="default" w:ascii="Times New Roman" w:hAnsi="Times New Roman" w:cs="Times New Roman"/>
          <w:highlight w:val="none"/>
          <w:lang w:val="en-US" w:eastAsia="zh-CN"/>
        </w:rPr>
        <w:t>8</w:t>
      </w:r>
      <w:r>
        <w:rPr>
          <w:rFonts w:hint="default" w:ascii="Times New Roman" w:hAnsi="Times New Roman" w:cs="Times New Roman"/>
          <w:highlight w:val="none"/>
        </w:rPr>
        <w:t>月</w:t>
      </w:r>
      <w:r>
        <w:rPr>
          <w:rFonts w:hint="default" w:ascii="Times New Roman" w:hAnsi="Times New Roman" w:cs="Times New Roman"/>
          <w:highlight w:val="none"/>
          <w:lang w:val="en-US" w:eastAsia="zh-CN"/>
        </w:rPr>
        <w:t>8</w:t>
      </w:r>
      <w:r>
        <w:rPr>
          <w:rFonts w:hint="default" w:ascii="Times New Roman" w:hAnsi="Times New Roman" w:cs="Times New Roman"/>
          <w:highlight w:val="none"/>
        </w:rPr>
        <w:t>日对克拉玛依</w:t>
      </w:r>
      <w:r>
        <w:rPr>
          <w:rFonts w:hint="default" w:ascii="Times New Roman" w:hAnsi="Times New Roman" w:cs="Times New Roman"/>
          <w:highlight w:val="none"/>
          <w:lang w:val="en-US" w:eastAsia="zh-CN"/>
        </w:rPr>
        <w:t>区昆仑路街道办事处</w:t>
      </w:r>
      <w:r>
        <w:rPr>
          <w:rFonts w:hint="default" w:ascii="Times New Roman" w:hAnsi="Times New Roman" w:cs="Times New Roman"/>
          <w:highlight w:val="none"/>
        </w:rPr>
        <w:t>实施的2024年国有企业退休人员社会化管理补助资金项目开展绩效评价，现就评价情况报告如下：</w:t>
      </w:r>
    </w:p>
    <w:p w14:paraId="55C5DBA5">
      <w:pPr>
        <w:pStyle w:val="3"/>
        <w:bidi w:val="0"/>
        <w:outlineLvl w:val="1"/>
        <w:rPr>
          <w:rFonts w:hint="default" w:ascii="Times New Roman" w:hAnsi="Times New Roman" w:cs="Times New Roman"/>
          <w:highlight w:val="none"/>
          <w:lang w:val="en-US" w:eastAsia="zh-CN"/>
        </w:rPr>
      </w:pPr>
      <w:bookmarkStart w:id="122" w:name="_Toc32581"/>
      <w:bookmarkStart w:id="123" w:name="_Toc4481"/>
      <w:bookmarkStart w:id="124" w:name="_Toc23955"/>
      <w:bookmarkStart w:id="125" w:name="_Toc32585"/>
      <w:r>
        <w:rPr>
          <w:rFonts w:hint="default" w:ascii="Times New Roman" w:hAnsi="Times New Roman" w:cs="Times New Roman"/>
          <w:highlight w:val="none"/>
          <w:lang w:val="en-US" w:eastAsia="zh-CN"/>
        </w:rPr>
        <w:t>一、基本情况</w:t>
      </w:r>
      <w:bookmarkEnd w:id="122"/>
      <w:bookmarkEnd w:id="123"/>
      <w:bookmarkEnd w:id="124"/>
      <w:bookmarkEnd w:id="125"/>
    </w:p>
    <w:p w14:paraId="1659FCB4">
      <w:pPr>
        <w:pStyle w:val="4"/>
        <w:bidi w:val="0"/>
        <w:outlineLvl w:val="1"/>
        <w:rPr>
          <w:rFonts w:hint="default" w:ascii="Times New Roman" w:hAnsi="Times New Roman" w:cs="Times New Roman"/>
          <w:highlight w:val="none"/>
          <w:lang w:val="en-US" w:eastAsia="zh-CN"/>
        </w:rPr>
      </w:pPr>
      <w:bookmarkStart w:id="126" w:name="_Toc6256"/>
      <w:bookmarkStart w:id="127" w:name="_Toc2745"/>
      <w:bookmarkStart w:id="128" w:name="_Toc7173"/>
      <w:bookmarkStart w:id="129" w:name="_Toc23221"/>
      <w:r>
        <w:rPr>
          <w:rFonts w:hint="default" w:ascii="Times New Roman" w:hAnsi="Times New Roman" w:cs="Times New Roman"/>
          <w:highlight w:val="none"/>
          <w:lang w:val="en-US" w:eastAsia="zh-CN"/>
        </w:rPr>
        <w:t>（一）项目概况</w:t>
      </w:r>
      <w:bookmarkEnd w:id="126"/>
      <w:bookmarkEnd w:id="127"/>
      <w:bookmarkEnd w:id="128"/>
      <w:bookmarkEnd w:id="129"/>
    </w:p>
    <w:p w14:paraId="788B00B0">
      <w:pPr>
        <w:bidi w:val="0"/>
        <w:ind w:firstLine="640" w:firstLineChars="0"/>
        <w:outlineLvl w:val="2"/>
        <w:rPr>
          <w:rFonts w:hint="default" w:ascii="Times New Roman" w:hAnsi="Times New Roman" w:cs="Times New Roman"/>
          <w:highlight w:val="none"/>
          <w:lang w:val="en-US" w:eastAsia="zh-CN"/>
        </w:rPr>
      </w:pPr>
      <w:bookmarkStart w:id="130" w:name="_Toc30346"/>
      <w:bookmarkStart w:id="131" w:name="_Toc31360"/>
      <w:bookmarkStart w:id="132" w:name="_Toc30703"/>
      <w:bookmarkStart w:id="133" w:name="_Toc29313"/>
      <w:r>
        <w:rPr>
          <w:rFonts w:hint="default" w:ascii="Times New Roman" w:hAnsi="Times New Roman" w:cs="Times New Roman"/>
          <w:highlight w:val="none"/>
          <w:lang w:val="en-US" w:eastAsia="zh-CN"/>
        </w:rPr>
        <w:t>1.项目单位基本情况</w:t>
      </w:r>
      <w:bookmarkEnd w:id="130"/>
      <w:bookmarkEnd w:id="131"/>
      <w:bookmarkEnd w:id="132"/>
      <w:bookmarkEnd w:id="133"/>
    </w:p>
    <w:p w14:paraId="55296959">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克拉玛依区昆仑路街道办事处是‌正科级单位‌，属于市辖区人民政府的派出机关，负责本行政区域的行政管理及公共服务工作。</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克拉玛依区昆仑路街道办事处贯彻落实党中央、自治区党委的方针政策和决策部署，落实市委工作要求，在履行职责过程中坚持和加强党对工作的集中统一领导。主要职责是：</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（1）负责辖区内的精神文明建设工作，积极组织以提高市民素质为目的的活动，树立文明新风。</w:t>
      </w:r>
    </w:p>
    <w:p w14:paraId="18805FAF">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（2）负责辖区内的维护和谐及社会治安综合治理工作，依照有关规定做好出租房和外来人员的管理工作；协助配合有关部门做好辖区普法、依法行政、民事调解、帮教和法律服务等工作，维护居民的合法权益。</w:t>
      </w:r>
    </w:p>
    <w:p w14:paraId="17DED20C">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（3）负责辖区内的市容环境卫生、园林绿化等城市管理工作，配合有关部门做好抢险救灾、环境保护等工作。</w:t>
      </w:r>
    </w:p>
    <w:p w14:paraId="4D652B80">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（4）负责辖区拥军优属、优抚安置、社会救济、社会福利、劳动就业、安全生产监督、社区文化、体育、科普、教育、卫生保健、计划生育、残疾人、老龄、关心下一代等管理工作。</w:t>
      </w:r>
    </w:p>
    <w:p w14:paraId="6DAAECFC">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（5）指导社区居委会工作，帮助社区居委会搞好组织建设和制度建设，发挥社区居委会的群众性自治组织作用；及时向区人民政府反映居民群众的意见和要求，办理人民群众来信来访事项。</w:t>
      </w:r>
    </w:p>
    <w:p w14:paraId="3BE517E9">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（6）负责辖区社区建设工作，积极开展社区服务工作，大力兴办社会福利事业，组织社区服务志愿者队伍，动员单位和居民兴办社区服务事业，指导社区居委会开展各类社区公益活动。</w:t>
      </w:r>
    </w:p>
    <w:p w14:paraId="49AE06DD">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（7）定期参加相关职能部门召开的城市管理协调例会或负责人联席会议，及时沟通交流城市管理情况，保证城市管理工作协调统一。</w:t>
      </w:r>
    </w:p>
    <w:p w14:paraId="13A433E0">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（8）建立与区相关职能部门的联络员制度、信息共享等制度，确保及时、准确传递业务信息，快速、高效地解决问题。</w:t>
      </w:r>
    </w:p>
    <w:p w14:paraId="1797D6AD">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（9）承办区委、区政府交办的其他工作。</w:t>
      </w:r>
    </w:p>
    <w:p w14:paraId="509A03BF">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克拉玛依区昆仑路街道办事处包括本级机关，机关内设7个处室（综合协调办公室、党建工作办公室、综合执法办公室、社会事务服务中心、党群服务中心、综合和网格化服务中心、经济发展中心）。</w:t>
      </w:r>
    </w:p>
    <w:p w14:paraId="6846649F">
      <w:pPr>
        <w:bidi w:val="0"/>
        <w:ind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昆仑路街道办事处编制数131，实有人数121人，其中：在职121人，退休1人，离休0人。</w:t>
      </w:r>
    </w:p>
    <w:p w14:paraId="4E8A3C66">
      <w:pPr>
        <w:bidi w:val="0"/>
        <w:ind w:firstLine="640" w:firstLineChars="0"/>
        <w:outlineLvl w:val="2"/>
        <w:rPr>
          <w:rFonts w:hint="default" w:ascii="Times New Roman" w:hAnsi="Times New Roman" w:cs="Times New Roman"/>
          <w:highlight w:val="none"/>
          <w:lang w:val="en-US" w:eastAsia="zh-CN"/>
        </w:rPr>
      </w:pPr>
      <w:bookmarkStart w:id="134" w:name="_Toc2545"/>
      <w:bookmarkStart w:id="135" w:name="_Toc31485"/>
      <w:bookmarkStart w:id="136" w:name="_Toc7136"/>
      <w:bookmarkStart w:id="137" w:name="_Toc30229"/>
      <w:r>
        <w:rPr>
          <w:rFonts w:hint="default" w:ascii="Times New Roman" w:hAnsi="Times New Roman" w:cs="Times New Roman"/>
          <w:highlight w:val="none"/>
          <w:lang w:val="en-US" w:eastAsia="zh-CN"/>
        </w:rPr>
        <w:t>2.立项背景及目的</w:t>
      </w:r>
      <w:bookmarkEnd w:id="134"/>
      <w:bookmarkEnd w:id="135"/>
      <w:bookmarkEnd w:id="136"/>
      <w:bookmarkEnd w:id="137"/>
    </w:p>
    <w:p w14:paraId="077B39E4">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2003年，中共中央办公厅、国务院办公厅发布《关于积极推进企业退休人员社会化管理服务工作的意见》（中办发〔2003〕16号），首次明确要求将企业退休人员移交社区管理，剥离国企社会职能。2019年，《关于国有企业退休人员社会化管理的指导意见》（厅字〔2019〕19号）进一步要求：2020年年底前全面完成国企退休人员向街道和社区的移交，此举旨在减轻国企负担，提升其市场竞争力，同时保障退休人员权益与社会稳定。改革前，国有企业需承担退休人员管理、活动组织、档案保管等社会职能，导致运营成本高、效率低。社会化管理通过移交属地，实现“人员与原企业分离”，推动国企聚焦核心业务。2020年，财政部联合国资委出台《关于支持地方做好中央企业及原中央下放企业退休人员社会化管理工作的通知》（财资〔2020〕1号），明确要求地方财政将相关经费纳入预算，中央财政通过补助资金支持地方落实。</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根据上述文件及《自治区党委办公厅、自治区人民政府办公厅&lt;关于加快推进国有企业退休人员社会化管理的工作方案&gt;的通知》(新党厅字〔2019〕69号)的规定及要求，坚持在政治上尊重、思想上关心、生活上照顾、精神上关怀国有企业退休人员，将社会化管理与社区提质提档工作同步推进、有机融合。通过整合服务资源、提升服务功能，推行首问负责、一窗受理、全程代办、服务承诺等制度，为国有企业退休人员提供优质高效服务，切实保障其老有所养、老有所医、老有所教、老有所学、老有所为、老有所乐，共享经济社会发展成果。</w:t>
      </w:r>
    </w:p>
    <w:p w14:paraId="37CAB433">
      <w:pPr>
        <w:pStyle w:val="4"/>
        <w:bidi w:val="0"/>
        <w:outlineLvl w:val="1"/>
        <w:rPr>
          <w:rFonts w:hint="default" w:ascii="Times New Roman" w:hAnsi="Times New Roman" w:cs="Times New Roman"/>
          <w:highlight w:val="none"/>
          <w:lang w:val="en-US" w:eastAsia="zh-CN"/>
        </w:rPr>
      </w:pPr>
      <w:bookmarkStart w:id="138" w:name="_Toc16319"/>
      <w:bookmarkStart w:id="139" w:name="_Toc20659"/>
      <w:bookmarkStart w:id="140" w:name="_Toc11436"/>
      <w:bookmarkStart w:id="141" w:name="_Toc32532"/>
      <w:r>
        <w:rPr>
          <w:rFonts w:hint="default" w:ascii="Times New Roman" w:hAnsi="Times New Roman" w:cs="Times New Roman"/>
          <w:highlight w:val="none"/>
          <w:lang w:val="en-US" w:eastAsia="zh-CN"/>
        </w:rPr>
        <w:t>（二）项目资金安排及使用情况</w:t>
      </w:r>
      <w:bookmarkEnd w:id="138"/>
      <w:bookmarkEnd w:id="139"/>
      <w:bookmarkEnd w:id="140"/>
      <w:bookmarkEnd w:id="141"/>
    </w:p>
    <w:p w14:paraId="67039D3E">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2024年国有企业退休人员社会化管理补助资金项目全年预算总额214.59万元，项目资金及时足额拨付到位，全年执行数214.59万元。</w:t>
      </w:r>
    </w:p>
    <w:p w14:paraId="05272DDD">
      <w:pPr>
        <w:pStyle w:val="4"/>
        <w:bidi w:val="0"/>
        <w:outlineLvl w:val="1"/>
        <w:rPr>
          <w:rFonts w:hint="default" w:ascii="Times New Roman" w:hAnsi="Times New Roman" w:cs="Times New Roman"/>
          <w:highlight w:val="none"/>
          <w:lang w:val="en-US" w:eastAsia="zh-CN"/>
        </w:rPr>
      </w:pPr>
      <w:bookmarkStart w:id="142" w:name="_Toc2753"/>
      <w:bookmarkStart w:id="143" w:name="_Toc12454"/>
      <w:bookmarkStart w:id="144" w:name="_Toc14648"/>
      <w:bookmarkStart w:id="145" w:name="_Toc13676"/>
      <w:r>
        <w:rPr>
          <w:rFonts w:hint="default" w:ascii="Times New Roman" w:hAnsi="Times New Roman" w:cs="Times New Roman"/>
          <w:highlight w:val="none"/>
          <w:lang w:val="en-US" w:eastAsia="zh-CN"/>
        </w:rPr>
        <w:t>（三）项目内容及规模</w:t>
      </w:r>
      <w:bookmarkEnd w:id="142"/>
      <w:bookmarkEnd w:id="143"/>
      <w:bookmarkEnd w:id="144"/>
      <w:bookmarkEnd w:id="145"/>
    </w:p>
    <w:p w14:paraId="2F341E52">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资金是用于昆仑路街道办事处辖区各老年活动中心保安保洁服务、组织开展文化体育各类活动，在持续7个月（5月至11月）的运行周期内，累计开展活动160余场次，覆盖20余个社区。项目资金用途比例为手工制作类（艾草锤、香囊、团扇等）占比约40%；节庆活动类（端午、中秋、国庆等）占比约25%；文体娱乐类（观影、文艺汇演、茶艺等）占比约20%；社区运营类（物业费、保安保洁）占比约15%。</w:t>
      </w:r>
    </w:p>
    <w:p w14:paraId="607ADF62">
      <w:pPr>
        <w:pStyle w:val="4"/>
        <w:bidi w:val="0"/>
        <w:outlineLvl w:val="1"/>
        <w:rPr>
          <w:rFonts w:hint="default" w:ascii="Times New Roman" w:hAnsi="Times New Roman" w:cs="Times New Roman"/>
          <w:highlight w:val="none"/>
          <w:lang w:val="en-US" w:eastAsia="zh-CN"/>
        </w:rPr>
      </w:pPr>
      <w:bookmarkStart w:id="146" w:name="_Toc10990"/>
      <w:bookmarkStart w:id="147" w:name="_Toc28636"/>
      <w:bookmarkStart w:id="148" w:name="_Toc9661"/>
      <w:bookmarkStart w:id="149" w:name="_Toc14889"/>
      <w:r>
        <w:rPr>
          <w:rFonts w:hint="default" w:ascii="Times New Roman" w:hAnsi="Times New Roman" w:cs="Times New Roman"/>
          <w:highlight w:val="none"/>
          <w:lang w:val="en-US" w:eastAsia="zh-CN"/>
        </w:rPr>
        <w:t>（四）项目绩效目标情况</w:t>
      </w:r>
      <w:bookmarkEnd w:id="146"/>
      <w:bookmarkEnd w:id="147"/>
      <w:bookmarkEnd w:id="148"/>
      <w:bookmarkEnd w:id="149"/>
    </w:p>
    <w:p w14:paraId="4A9B4B4E">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依据《关于印发新疆维吾尔自治区国有企业退休人员社会化管理政府购买服务实施办法的通知》（新政办发（2020）60号）、《克拉玛依市国有企业退休人员社会化管理服务暂行办法》的通知（新克政发（2020）63号）通知要求，全面做好国有企业退休人员实行社会化管理后的各项服务保障工作，进一步丰富辖区离退休人员的精神文化生活，增强离退休人员的归属感、获得感、幸福感，有着十分重要的意义。</w:t>
      </w:r>
    </w:p>
    <w:p w14:paraId="35E6EA83">
      <w:pPr>
        <w:pStyle w:val="4"/>
        <w:bidi w:val="0"/>
        <w:outlineLvl w:val="1"/>
        <w:rPr>
          <w:rFonts w:hint="default" w:ascii="Times New Roman" w:hAnsi="Times New Roman" w:cs="Times New Roman"/>
          <w:highlight w:val="none"/>
          <w:lang w:val="en-US" w:eastAsia="zh-CN"/>
        </w:rPr>
      </w:pPr>
      <w:bookmarkStart w:id="150" w:name="_Toc2376"/>
      <w:bookmarkStart w:id="151" w:name="_Toc11210"/>
      <w:bookmarkStart w:id="152" w:name="_Toc18735"/>
      <w:bookmarkStart w:id="153" w:name="_Toc17006"/>
      <w:r>
        <w:rPr>
          <w:rFonts w:hint="default" w:ascii="Times New Roman" w:hAnsi="Times New Roman" w:cs="Times New Roman"/>
          <w:highlight w:val="none"/>
          <w:lang w:val="en-US" w:eastAsia="zh-CN"/>
        </w:rPr>
        <w:t>（五）绩效自评情况及结论</w:t>
      </w:r>
      <w:bookmarkEnd w:id="150"/>
      <w:bookmarkEnd w:id="151"/>
      <w:bookmarkEnd w:id="152"/>
      <w:bookmarkEnd w:id="153"/>
    </w:p>
    <w:p w14:paraId="0EF37D25">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编制项目支出绩效执行监控表、项目支出绩效目标表和项目支出绩效自评表，做好保安保洁服务、组织开展文体活动、开展培训和讲座等活动，做好国有企业退休人员实行社会化管理后的各项服务保障工作，提高管理效率和服务质量，提升国有企业退休人员的幸福感、归属感。</w:t>
      </w:r>
    </w:p>
    <w:p w14:paraId="74744902">
      <w:pPr>
        <w:pStyle w:val="3"/>
        <w:bidi w:val="0"/>
        <w:outlineLvl w:val="1"/>
        <w:rPr>
          <w:rFonts w:hint="default" w:ascii="Times New Roman" w:hAnsi="Times New Roman" w:cs="Times New Roman"/>
          <w:highlight w:val="none"/>
          <w:lang w:val="en-US" w:eastAsia="zh-CN"/>
        </w:rPr>
      </w:pPr>
      <w:bookmarkStart w:id="154" w:name="_Toc31683"/>
      <w:bookmarkStart w:id="155" w:name="_Toc19414"/>
      <w:bookmarkStart w:id="156" w:name="_Toc13913"/>
      <w:bookmarkStart w:id="157" w:name="_Toc10772"/>
      <w:r>
        <w:rPr>
          <w:rFonts w:hint="default" w:ascii="Times New Roman" w:hAnsi="Times New Roman" w:cs="Times New Roman"/>
          <w:highlight w:val="none"/>
          <w:lang w:val="en-US" w:eastAsia="zh-CN"/>
        </w:rPr>
        <w:t>二、绩效评价组织情况</w:t>
      </w:r>
      <w:bookmarkEnd w:id="154"/>
      <w:bookmarkEnd w:id="155"/>
      <w:bookmarkEnd w:id="156"/>
      <w:bookmarkEnd w:id="157"/>
    </w:p>
    <w:p w14:paraId="3829F17A">
      <w:pPr>
        <w:pStyle w:val="4"/>
        <w:bidi w:val="0"/>
        <w:outlineLvl w:val="1"/>
        <w:rPr>
          <w:rFonts w:hint="default" w:ascii="Times New Roman" w:hAnsi="Times New Roman" w:cs="Times New Roman"/>
          <w:spacing w:val="8"/>
          <w:szCs w:val="24"/>
          <w:highlight w:val="none"/>
          <w:lang w:val="en-US" w:eastAsia="zh-CN"/>
        </w:rPr>
      </w:pPr>
      <w:bookmarkStart w:id="158" w:name="_Toc2636"/>
      <w:bookmarkStart w:id="159" w:name="_Toc11820"/>
      <w:bookmarkStart w:id="160" w:name="_Toc27092"/>
      <w:bookmarkStart w:id="161" w:name="_Toc22503"/>
      <w:r>
        <w:rPr>
          <w:rFonts w:hint="default" w:ascii="Times New Roman" w:hAnsi="Times New Roman" w:cs="Times New Roman"/>
          <w:highlight w:val="none"/>
          <w:lang w:val="en-US" w:eastAsia="zh-CN"/>
        </w:rPr>
        <w:t>（一）绩效评价目的</w:t>
      </w:r>
      <w:bookmarkEnd w:id="158"/>
      <w:bookmarkEnd w:id="159"/>
      <w:bookmarkEnd w:id="160"/>
      <w:bookmarkEnd w:id="161"/>
    </w:p>
    <w:p w14:paraId="1877E1AB">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是掌握项目实施整体情况，根据设定的绩效目标，实地考察项目实施情况，并进行全面、客观、科学、公正地评价，为进一步做好克拉玛依区类似项目提供参考依据。二是推动2024年国有企业退休人员社会化管理补助资金项目取得实效，确保项目单位能够科学、规范地高质量完成目标任务。三是提高资金利用率，充分发挥财政资金使用效益。</w:t>
      </w:r>
    </w:p>
    <w:p w14:paraId="5403E7EA">
      <w:pPr>
        <w:pStyle w:val="4"/>
        <w:bidi w:val="0"/>
        <w:outlineLvl w:val="1"/>
        <w:rPr>
          <w:rFonts w:hint="default" w:ascii="Times New Roman" w:hAnsi="Times New Roman" w:cs="Times New Roman"/>
          <w:highlight w:val="none"/>
          <w:lang w:val="en-US" w:eastAsia="zh-CN"/>
        </w:rPr>
      </w:pPr>
      <w:bookmarkStart w:id="162" w:name="_Toc5711"/>
      <w:bookmarkStart w:id="163" w:name="_Toc796"/>
      <w:bookmarkStart w:id="164" w:name="_Toc19971"/>
      <w:bookmarkStart w:id="165" w:name="_Toc14662"/>
      <w:r>
        <w:rPr>
          <w:rFonts w:hint="default" w:ascii="Times New Roman" w:hAnsi="Times New Roman" w:cs="Times New Roman"/>
          <w:highlight w:val="none"/>
          <w:lang w:val="en-US" w:eastAsia="zh-CN"/>
        </w:rPr>
        <w:t>（二）绩效评价对象和范围</w:t>
      </w:r>
      <w:bookmarkEnd w:id="162"/>
      <w:bookmarkEnd w:id="163"/>
      <w:bookmarkEnd w:id="164"/>
      <w:bookmarkEnd w:id="165"/>
    </w:p>
    <w:p w14:paraId="387DE9BB">
      <w:pPr>
        <w:bidi w:val="0"/>
        <w:ind w:firstLine="640" w:firstLineChars="0"/>
        <w:outlineLvl w:val="2"/>
        <w:rPr>
          <w:rFonts w:hint="default" w:ascii="Times New Roman" w:hAnsi="Times New Roman" w:cs="Times New Roman"/>
          <w:highlight w:val="none"/>
          <w:lang w:val="en-US" w:eastAsia="zh-CN"/>
        </w:rPr>
      </w:pPr>
      <w:bookmarkStart w:id="166" w:name="_Toc2265"/>
      <w:bookmarkStart w:id="167" w:name="_Toc9012"/>
      <w:bookmarkStart w:id="168" w:name="_Toc30376"/>
      <w:bookmarkStart w:id="169" w:name="_Toc12509"/>
      <w:r>
        <w:rPr>
          <w:rFonts w:hint="default" w:ascii="Times New Roman" w:hAnsi="Times New Roman" w:cs="Times New Roman"/>
          <w:highlight w:val="none"/>
          <w:lang w:val="en-US" w:eastAsia="zh-CN"/>
        </w:rPr>
        <w:t>1.绩效评价对象</w:t>
      </w:r>
      <w:bookmarkEnd w:id="166"/>
      <w:bookmarkEnd w:id="167"/>
      <w:bookmarkEnd w:id="168"/>
      <w:bookmarkEnd w:id="169"/>
    </w:p>
    <w:p w14:paraId="0C01367A">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2024年国有企业退休人员社会化管理补助资金项目，该项目资金总额214.59万元，评价金额214.59万元。</w:t>
      </w:r>
    </w:p>
    <w:p w14:paraId="3E2D8A2C">
      <w:pPr>
        <w:bidi w:val="0"/>
        <w:ind w:firstLine="640" w:firstLineChars="0"/>
        <w:outlineLvl w:val="2"/>
        <w:rPr>
          <w:rFonts w:hint="default" w:ascii="Times New Roman" w:hAnsi="Times New Roman" w:cs="Times New Roman"/>
          <w:highlight w:val="none"/>
          <w:lang w:val="en-US" w:eastAsia="zh-CN"/>
        </w:rPr>
      </w:pPr>
      <w:bookmarkStart w:id="170" w:name="_Toc13596"/>
      <w:bookmarkStart w:id="171" w:name="_Toc28985"/>
      <w:bookmarkStart w:id="172" w:name="_Toc4452"/>
      <w:bookmarkStart w:id="173" w:name="_Toc10694"/>
      <w:r>
        <w:rPr>
          <w:rFonts w:hint="default" w:ascii="Times New Roman" w:hAnsi="Times New Roman" w:cs="Times New Roman"/>
          <w:highlight w:val="none"/>
          <w:lang w:val="en-US" w:eastAsia="zh-CN"/>
        </w:rPr>
        <w:t>2.绩效评价范围</w:t>
      </w:r>
      <w:bookmarkEnd w:id="170"/>
      <w:bookmarkEnd w:id="171"/>
      <w:bookmarkEnd w:id="172"/>
      <w:bookmarkEnd w:id="173"/>
    </w:p>
    <w:p w14:paraId="3B1CB3DE">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绩效评价的范围：2024年国有企业退休人员社会化管理补助资金项目的项目决策、项目的产出、完成情况、资金投入的运行情况、项目实施后产生的绩效情况、绩效目标的实现程度，包括是否达到预定产出和效果等。</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（2）时间范围：2024年1月1日至2024年12月31日。</w:t>
      </w:r>
    </w:p>
    <w:p w14:paraId="0A2DA922">
      <w:pPr>
        <w:pStyle w:val="4"/>
        <w:bidi w:val="0"/>
        <w:outlineLvl w:val="1"/>
        <w:rPr>
          <w:rFonts w:hint="default" w:ascii="Times New Roman" w:hAnsi="Times New Roman" w:cs="Times New Roman"/>
          <w:spacing w:val="8"/>
          <w:sz w:val="32"/>
          <w:szCs w:val="32"/>
          <w:highlight w:val="none"/>
          <w:lang w:val="en-US" w:eastAsia="zh-CN"/>
        </w:rPr>
      </w:pPr>
      <w:bookmarkStart w:id="174" w:name="_Toc15760"/>
      <w:bookmarkStart w:id="175" w:name="_Toc15287"/>
      <w:bookmarkStart w:id="176" w:name="_Toc21042"/>
      <w:bookmarkStart w:id="177" w:name="_Toc28663"/>
      <w:r>
        <w:rPr>
          <w:rFonts w:hint="default" w:ascii="Times New Roman" w:hAnsi="Times New Roman" w:eastAsia="宋体" w:cs="Times New Roman"/>
          <w:snapToGrid w:val="0"/>
          <w:color w:val="000000"/>
          <w:spacing w:val="8"/>
          <w:kern w:val="0"/>
          <w:sz w:val="32"/>
          <w:szCs w:val="32"/>
          <w:highlight w:val="none"/>
          <w:lang w:val="en-US" w:eastAsia="zh-CN" w:bidi="ar-SA"/>
        </w:rPr>
        <w:t>（</w:t>
      </w:r>
      <w:r>
        <w:rPr>
          <w:rFonts w:hint="default" w:ascii="Times New Roman" w:hAnsi="Times New Roman" w:cs="Times New Roman"/>
          <w:snapToGrid w:val="0"/>
          <w:color w:val="000000"/>
          <w:spacing w:val="8"/>
          <w:kern w:val="0"/>
          <w:sz w:val="32"/>
          <w:szCs w:val="32"/>
          <w:highlight w:val="none"/>
          <w:lang w:val="en-US" w:eastAsia="zh-CN" w:bidi="ar-SA"/>
        </w:rPr>
        <w:t>三</w:t>
      </w:r>
      <w:r>
        <w:rPr>
          <w:rFonts w:hint="default" w:ascii="Times New Roman" w:hAnsi="Times New Roman" w:eastAsia="宋体" w:cs="Times New Roman"/>
          <w:snapToGrid w:val="0"/>
          <w:color w:val="000000"/>
          <w:spacing w:val="8"/>
          <w:kern w:val="0"/>
          <w:sz w:val="32"/>
          <w:szCs w:val="32"/>
          <w:highlight w:val="none"/>
          <w:lang w:val="en-US" w:eastAsia="zh-CN" w:bidi="ar-SA"/>
        </w:rPr>
        <w:t>）</w:t>
      </w:r>
      <w:r>
        <w:rPr>
          <w:rFonts w:hint="default" w:ascii="Times New Roman" w:hAnsi="Times New Roman" w:cs="Times New Roman"/>
          <w:spacing w:val="8"/>
          <w:sz w:val="32"/>
          <w:szCs w:val="32"/>
          <w:highlight w:val="none"/>
          <w:lang w:val="en-US" w:eastAsia="zh-CN"/>
        </w:rPr>
        <w:t>绩效评价原则</w:t>
      </w:r>
      <w:bookmarkEnd w:id="174"/>
      <w:bookmarkEnd w:id="175"/>
      <w:bookmarkEnd w:id="176"/>
      <w:bookmarkEnd w:id="177"/>
    </w:p>
    <w:p w14:paraId="00335A13">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1.科学公正。绩效评价应当运用科学合理的方法，按照规范的程序，对项目绩效进行客观、公正地反映。</w:t>
      </w:r>
    </w:p>
    <w:p w14:paraId="413C6147">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统筹兼顾。单位自评、部门评价和财政评价应职责明确，各有侧重，相互衔接。单位自评由项目单位自主实施，即“谁支出、谁自评”。部门评价和财政评价在单位自评的基础上开展，必要时可委托第三方机构实施。</w:t>
      </w:r>
    </w:p>
    <w:p w14:paraId="4B1CBBB3">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3.激励约束。绩效评价结果与预算安排、政策调整、改进管理实质性挂钩，体现奖优罚劣和激励相容导向，有效要安排、低效要压减、无效要问责。</w:t>
      </w:r>
    </w:p>
    <w:p w14:paraId="4621E982">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4.公开透明。绩效评价结果应依法依规公开，自觉接受社会监督。</w:t>
      </w:r>
    </w:p>
    <w:p w14:paraId="6686E4C6">
      <w:pPr>
        <w:pStyle w:val="4"/>
        <w:bidi w:val="0"/>
        <w:outlineLvl w:val="1"/>
        <w:rPr>
          <w:rFonts w:hint="default" w:ascii="Times New Roman" w:hAnsi="Times New Roman" w:cs="Times New Roman"/>
          <w:highlight w:val="none"/>
          <w:lang w:val="en-US" w:eastAsia="zh-CN"/>
        </w:rPr>
      </w:pPr>
      <w:bookmarkStart w:id="178" w:name="_Toc7736"/>
      <w:bookmarkStart w:id="179" w:name="_Toc7652"/>
      <w:bookmarkStart w:id="180" w:name="_Toc14789"/>
      <w:bookmarkStart w:id="181" w:name="_Toc13209"/>
      <w:r>
        <w:rPr>
          <w:rFonts w:hint="default" w:ascii="Times New Roman" w:hAnsi="Times New Roman" w:cs="Times New Roman"/>
          <w:highlight w:val="none"/>
          <w:lang w:val="en-US" w:eastAsia="zh-CN"/>
        </w:rPr>
        <w:t>（四）绩效评价依据</w:t>
      </w:r>
      <w:bookmarkEnd w:id="178"/>
      <w:bookmarkEnd w:id="179"/>
      <w:bookmarkEnd w:id="180"/>
      <w:bookmarkEnd w:id="181"/>
    </w:p>
    <w:p w14:paraId="69B96582">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1.《中华人民共和国预算法》；</w:t>
      </w:r>
    </w:p>
    <w:p w14:paraId="01B18554">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2.财政部关于印发《财政支出绩效评价管理暂行办法》的通知（财预〔2011〕285号）；</w:t>
      </w:r>
    </w:p>
    <w:p w14:paraId="77B1784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3.《中共中央国务院关于全面实施预算绩效管理的意见》（中发〔2018〕34号）；</w:t>
      </w:r>
    </w:p>
    <w:p w14:paraId="6BA3A1DD">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4.《财政支出绩效评价管理暂行办法》（财预〔2020〕10号）；</w:t>
      </w:r>
    </w:p>
    <w:p w14:paraId="700DDD1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5.《关于印发〈第三方机构绩效评价业务监督管理暂行办法〉的通知》（财监〔2021〕4号）；</w:t>
      </w:r>
    </w:p>
    <w:p w14:paraId="48121ACC">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6.克拉玛依市财政局《关于印发〈自治区本级预算绩效管理委托第三方机构评价管理暂行办法〉的通知》（新财预〔2018〕148号）。</w:t>
      </w:r>
    </w:p>
    <w:p w14:paraId="7C7A7A75">
      <w:pPr>
        <w:pStyle w:val="4"/>
        <w:bidi w:val="0"/>
        <w:outlineLvl w:val="1"/>
        <w:rPr>
          <w:rFonts w:hint="default" w:ascii="Times New Roman" w:hAnsi="Times New Roman" w:cs="Times New Roman"/>
          <w:highlight w:val="none"/>
          <w:lang w:val="en-US" w:eastAsia="zh-CN"/>
        </w:rPr>
      </w:pPr>
      <w:bookmarkStart w:id="182" w:name="_Toc6461"/>
      <w:bookmarkStart w:id="183" w:name="_Toc29714"/>
      <w:bookmarkStart w:id="184" w:name="_Toc5685"/>
      <w:bookmarkStart w:id="185" w:name="_Toc13119"/>
      <w:r>
        <w:rPr>
          <w:rFonts w:hint="default" w:ascii="Times New Roman" w:hAnsi="Times New Roman" w:cs="Times New Roman"/>
          <w:highlight w:val="none"/>
          <w:lang w:val="en-US" w:eastAsia="zh-CN"/>
        </w:rPr>
        <w:t>（五）绩效评价指标体系及标准</w:t>
      </w:r>
      <w:bookmarkEnd w:id="182"/>
      <w:bookmarkEnd w:id="183"/>
      <w:bookmarkEnd w:id="184"/>
      <w:bookmarkEnd w:id="185"/>
    </w:p>
    <w:p w14:paraId="563C019E">
      <w:pPr>
        <w:bidi w:val="0"/>
        <w:ind w:firstLine="640" w:firstLineChars="0"/>
        <w:outlineLvl w:val="2"/>
        <w:rPr>
          <w:rFonts w:hint="default" w:ascii="Times New Roman" w:hAnsi="Times New Roman" w:cs="Times New Roman"/>
          <w:highlight w:val="none"/>
          <w:lang w:val="en-US" w:eastAsia="zh-CN"/>
        </w:rPr>
      </w:pPr>
      <w:bookmarkStart w:id="186" w:name="_Toc29662"/>
      <w:bookmarkStart w:id="187" w:name="_Toc21566"/>
      <w:bookmarkStart w:id="188" w:name="_Toc49"/>
      <w:bookmarkStart w:id="189" w:name="_Toc24433"/>
      <w:r>
        <w:rPr>
          <w:rFonts w:hint="default" w:ascii="Times New Roman" w:hAnsi="Times New Roman" w:cs="Times New Roman"/>
          <w:highlight w:val="none"/>
          <w:lang w:val="en-US" w:eastAsia="zh-CN"/>
        </w:rPr>
        <w:t>1.绩效评价指标体系</w:t>
      </w:r>
      <w:bookmarkEnd w:id="186"/>
      <w:bookmarkEnd w:id="187"/>
      <w:bookmarkEnd w:id="188"/>
      <w:bookmarkEnd w:id="189"/>
    </w:p>
    <w:p w14:paraId="21827375">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绩效评价指标体系是开展绩效评价的核心。绩效评价指标体系包括评价准则、关键评价问题、评价指标、数据来源、数据收集方法等。指标体系建立过程如下：</w:t>
      </w:r>
    </w:p>
    <w:p w14:paraId="715D3BE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（1）确定绩效评价指标</w:t>
      </w:r>
    </w:p>
    <w:p w14:paraId="537E2860">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第一步，采用层次分析法，建立绩效评价指标体系。绩效评价指标体系分为项目决策、项目管理、项目产出、项目效益四个维度，最终形成一个由多个相互联系的指标组成的多层次指标体系。</w:t>
      </w:r>
    </w:p>
    <w:p w14:paraId="5F68C9D4">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第二步，采用专家调查法，确定绩效评价指标。评价指标体系建立后，邀请专家对指标体系中的指标进行分析、权衡、补充、选择，最后确定评价指标。</w:t>
      </w:r>
    </w:p>
    <w:p w14:paraId="2B3DAD5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（2）确定权重</w:t>
      </w:r>
    </w:p>
    <w:p w14:paraId="1F81135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采用专家调查法，确定各个指标相对于项目总体绩效的权重分值。因此项目决策权重为20%，项目管理权重占20%，项目产出权重占40%，项目效益权重占20%。</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（3）确定指标标准值</w:t>
      </w:r>
    </w:p>
    <w:p w14:paraId="757240FC">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指标标准值是绩效评价指标的尺度，既要反映同类项目的先进水平，又要符合项目的实际绩效水平。本次绩效评价采用计划标准、通用标准、历史标准等确定此次绩效评价指标标准值。</w:t>
      </w:r>
    </w:p>
    <w:p w14:paraId="097C1799">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财政部关于印发〈项目支出绩效评价管理暂行办法〉的通知》（财预〔2020〕10号）第十八条：绩效评价结果采取评分和评级相结合的方式，具体分值和等级可根据不同评价内容设定。总分一般设置为100分，等级一般划分为四档：90（含）-100分为优、80（含）-90分为良、60（含）-80分为中、60分以下为差。</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2.绩效评价标准</w:t>
      </w:r>
    </w:p>
    <w:p w14:paraId="59250A0F">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通常包括计划标准、行业标准、历史标准等，用于对绩效指标完成情况进行比较。</w:t>
      </w:r>
    </w:p>
    <w:p w14:paraId="29C545DA">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（1）计划标准。指以预先制定的目标、计划、预算、定额等作为评价标准。</w:t>
      </w:r>
    </w:p>
    <w:p w14:paraId="13078A93">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（2）行业标准。指参照国家公布的行业指标数据制定的评价标准。</w:t>
      </w:r>
    </w:p>
    <w:p w14:paraId="05FF9F52">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（3）历史标准。指参照历史数据制定的评价标准，为体现绩效改进的原则，在可实现的条件下应当确定相对较高的评价标准。</w:t>
      </w:r>
    </w:p>
    <w:p w14:paraId="55ADCBE5">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（4）财政部门和预算部门确认或认可的其他标准。</w:t>
      </w:r>
    </w:p>
    <w:p w14:paraId="6B33F52B">
      <w:pPr>
        <w:pStyle w:val="4"/>
        <w:bidi w:val="0"/>
        <w:outlineLvl w:val="1"/>
        <w:rPr>
          <w:rFonts w:hint="default" w:ascii="Times New Roman" w:hAnsi="Times New Roman" w:cs="Times New Roman"/>
          <w:highlight w:val="none"/>
          <w:lang w:val="en-US" w:eastAsia="zh-CN"/>
        </w:rPr>
      </w:pPr>
      <w:bookmarkStart w:id="190" w:name="_Toc9073"/>
      <w:bookmarkStart w:id="191" w:name="_Toc1247"/>
      <w:bookmarkStart w:id="192" w:name="_Toc985"/>
      <w:bookmarkStart w:id="193" w:name="_Toc16678"/>
      <w:r>
        <w:rPr>
          <w:rFonts w:hint="default" w:ascii="Times New Roman" w:hAnsi="Times New Roman" w:cs="Times New Roman"/>
          <w:highlight w:val="none"/>
          <w:lang w:val="en-US" w:eastAsia="zh-CN"/>
        </w:rPr>
        <w:t>（六）绩效评价方法</w:t>
      </w:r>
      <w:bookmarkEnd w:id="190"/>
      <w:bookmarkEnd w:id="191"/>
      <w:bookmarkEnd w:id="192"/>
      <w:bookmarkEnd w:id="193"/>
    </w:p>
    <w:p w14:paraId="4F0072E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绩效评价方法包括主要包括成本效益分析法、比较法因素分析法、最低成本法、公众评判法、标杆管理法等，本次绩效评价选用的主要评价方法如下：</w:t>
      </w:r>
    </w:p>
    <w:p w14:paraId="4A6AA86A">
      <w:pPr>
        <w:bidi w:val="0"/>
        <w:ind w:left="0" w:leftChars="0" w:firstLine="640" w:firstLineChars="0"/>
        <w:outlineLvl w:val="2"/>
        <w:rPr>
          <w:rFonts w:hint="default" w:ascii="Times New Roman" w:hAnsi="Times New Roman" w:cs="Times New Roman"/>
          <w:highlight w:val="none"/>
          <w:lang w:val="en-US" w:eastAsia="zh-CN"/>
        </w:rPr>
      </w:pPr>
      <w:bookmarkStart w:id="194" w:name="_Toc6970"/>
      <w:bookmarkStart w:id="195" w:name="_Toc15258"/>
      <w:bookmarkStart w:id="196" w:name="_Toc14543"/>
      <w:bookmarkStart w:id="197" w:name="_Toc6768"/>
      <w:r>
        <w:rPr>
          <w:rFonts w:hint="default" w:ascii="Times New Roman" w:hAnsi="Times New Roman" w:cs="Times New Roman"/>
          <w:highlight w:val="none"/>
          <w:lang w:val="en-US" w:eastAsia="zh-CN"/>
        </w:rPr>
        <w:t>1.因素分析法：</w:t>
      </w:r>
      <w:bookmarkEnd w:id="194"/>
      <w:bookmarkEnd w:id="195"/>
      <w:bookmarkEnd w:id="196"/>
      <w:bookmarkEnd w:id="197"/>
    </w:p>
    <w:p w14:paraId="6A5D9136">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用于评价项目管理类指标，对项目管理中发现的不足进行因素分析，发现相关的内外因素，追溯问题产生的原因，明确责任归属，为后续纠偏完善提供参考。</w:t>
      </w:r>
    </w:p>
    <w:p w14:paraId="685EA83B">
      <w:pPr>
        <w:bidi w:val="0"/>
        <w:ind w:left="0" w:leftChars="0" w:firstLine="640" w:firstLineChars="0"/>
        <w:outlineLvl w:val="2"/>
        <w:rPr>
          <w:rFonts w:hint="default" w:ascii="Times New Roman" w:hAnsi="Times New Roman" w:cs="Times New Roman"/>
          <w:highlight w:val="none"/>
          <w:lang w:val="en-US" w:eastAsia="zh-CN"/>
        </w:rPr>
      </w:pPr>
      <w:bookmarkStart w:id="198" w:name="_Toc3173"/>
      <w:bookmarkStart w:id="199" w:name="_Toc31855"/>
      <w:bookmarkStart w:id="200" w:name="_Toc9479"/>
      <w:bookmarkStart w:id="201" w:name="_Toc30839"/>
      <w:r>
        <w:rPr>
          <w:rFonts w:hint="default" w:ascii="Times New Roman" w:hAnsi="Times New Roman" w:cs="Times New Roman"/>
          <w:highlight w:val="none"/>
          <w:lang w:val="en-US" w:eastAsia="zh-CN"/>
        </w:rPr>
        <w:t>2.比较法：</w:t>
      </w:r>
      <w:bookmarkEnd w:id="198"/>
      <w:bookmarkEnd w:id="199"/>
      <w:bookmarkEnd w:id="200"/>
      <w:bookmarkEnd w:id="201"/>
    </w:p>
    <w:p w14:paraId="350A0C1F">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（1）计划数据与实际数据比较，用于为部分指标标杆的确定提供参考依据。</w:t>
      </w:r>
    </w:p>
    <w:p w14:paraId="22C7BFB9">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（2）制度条款与执行情况比较，用于评价项目相关方是否严格按照既定制度，有效履行了管理职责，如“制度执行有效性”、“管理制度健全性”等。</w:t>
      </w:r>
    </w:p>
    <w:p w14:paraId="6A98905F">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（3）政策法规与项目内容比较，用于评价项目是否符合自治区、克拉玛依市区发展的战略目标，如“立项依据充分性”和“绩效目标合理性”等。</w:t>
      </w:r>
    </w:p>
    <w:p w14:paraId="79D916D2">
      <w:pPr>
        <w:bidi w:val="0"/>
        <w:ind w:left="0" w:leftChars="0" w:firstLine="640" w:firstLineChars="0"/>
        <w:outlineLvl w:val="2"/>
        <w:rPr>
          <w:rFonts w:hint="default" w:ascii="Times New Roman" w:hAnsi="Times New Roman" w:cs="Times New Roman"/>
          <w:highlight w:val="none"/>
          <w:lang w:val="en-US" w:eastAsia="zh-CN"/>
        </w:rPr>
      </w:pPr>
      <w:bookmarkStart w:id="202" w:name="_Toc14602"/>
      <w:bookmarkStart w:id="203" w:name="_Toc8976"/>
      <w:bookmarkStart w:id="204" w:name="_Toc7763"/>
      <w:bookmarkStart w:id="205" w:name="_Toc3708"/>
      <w:r>
        <w:rPr>
          <w:rFonts w:hint="default" w:ascii="Times New Roman" w:hAnsi="Times New Roman" w:cs="Times New Roman"/>
          <w:highlight w:val="none"/>
          <w:lang w:val="en-US" w:eastAsia="zh-CN"/>
        </w:rPr>
        <w:t>3.公众评判法：</w:t>
      </w:r>
      <w:bookmarkEnd w:id="202"/>
      <w:bookmarkEnd w:id="203"/>
      <w:bookmarkEnd w:id="204"/>
      <w:bookmarkEnd w:id="205"/>
    </w:p>
    <w:p w14:paraId="09D1D18E">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对本项目各相关职能部门为对象、进行问卷、访谈、座谈等形式的调研，了解其对项目的看法和建议，分析其对项目的满意度，直接反映项目的现实状况和具体效果。</w:t>
      </w:r>
    </w:p>
    <w:p w14:paraId="654299AE">
      <w:pPr>
        <w:pStyle w:val="4"/>
        <w:bidi w:val="0"/>
        <w:outlineLvl w:val="1"/>
        <w:rPr>
          <w:rFonts w:hint="default" w:ascii="Times New Roman" w:hAnsi="Times New Roman" w:cs="Times New Roman"/>
          <w:highlight w:val="none"/>
          <w:lang w:val="en-US" w:eastAsia="zh-CN"/>
        </w:rPr>
      </w:pPr>
      <w:bookmarkStart w:id="206" w:name="_Toc28611"/>
      <w:bookmarkStart w:id="207" w:name="_Toc19461"/>
      <w:bookmarkStart w:id="208" w:name="_Toc15204"/>
      <w:bookmarkStart w:id="209" w:name="_Toc5896"/>
      <w:r>
        <w:rPr>
          <w:rFonts w:hint="default" w:ascii="Times New Roman" w:hAnsi="Times New Roman" w:cs="Times New Roman"/>
          <w:highlight w:val="none"/>
          <w:lang w:val="en-US" w:eastAsia="zh-CN"/>
        </w:rPr>
        <w:t>（七）绩效评价工作过程</w:t>
      </w:r>
      <w:bookmarkEnd w:id="206"/>
      <w:bookmarkEnd w:id="207"/>
      <w:bookmarkEnd w:id="208"/>
      <w:bookmarkEnd w:id="209"/>
    </w:p>
    <w:p w14:paraId="6C02CFA1">
      <w:pPr>
        <w:bidi w:val="0"/>
        <w:ind w:left="0" w:leftChars="0" w:firstLine="640" w:firstLineChars="0"/>
        <w:outlineLvl w:val="2"/>
        <w:rPr>
          <w:rFonts w:hint="default" w:ascii="Times New Roman" w:hAnsi="Times New Roman" w:cs="Times New Roman"/>
          <w:highlight w:val="none"/>
          <w:lang w:val="en-US" w:eastAsia="zh-CN"/>
        </w:rPr>
      </w:pPr>
      <w:bookmarkStart w:id="210" w:name="_Toc9332"/>
      <w:bookmarkStart w:id="211" w:name="_Toc28616"/>
      <w:bookmarkStart w:id="212" w:name="_Toc7657"/>
      <w:bookmarkStart w:id="213" w:name="_Toc11270"/>
      <w:r>
        <w:rPr>
          <w:rFonts w:hint="default" w:ascii="Times New Roman" w:hAnsi="Times New Roman" w:cs="Times New Roman"/>
          <w:highlight w:val="none"/>
          <w:lang w:val="en-US" w:eastAsia="zh-CN"/>
        </w:rPr>
        <w:t>1.前期准备</w:t>
      </w:r>
      <w:bookmarkEnd w:id="210"/>
      <w:bookmarkEnd w:id="211"/>
      <w:bookmarkEnd w:id="212"/>
      <w:bookmarkEnd w:id="213"/>
    </w:p>
    <w:p w14:paraId="3892CE94">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次评价，委托方为克拉玛依区财政局，受托方为北京上计会计师事务所。北京上计会计师事务所按照委托方对该项目评价工作的要求，配备专门人力，重视质量效益评价。组织人力进行前期调查、研究讨论、制定工作方案，具体人员名单如下：</w:t>
      </w:r>
    </w:p>
    <w:p w14:paraId="1F970FC4">
      <w:pPr>
        <w:bidi w:val="0"/>
        <w:ind w:firstLine="560" w:firstLineChars="0"/>
        <w:rPr>
          <w:rFonts w:hint="default" w:ascii="Times New Roman" w:hAnsi="Times New Roman" w:cs="Times New Roman"/>
          <w:highlight w:val="none"/>
          <w:lang w:val="en-US" w:eastAsia="zh-CN"/>
        </w:rPr>
      </w:pPr>
    </w:p>
    <w:tbl>
      <w:tblPr>
        <w:tblStyle w:val="16"/>
        <w:tblW w:w="87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9"/>
        <w:gridCol w:w="1099"/>
        <w:gridCol w:w="1424"/>
        <w:gridCol w:w="1611"/>
        <w:gridCol w:w="3925"/>
      </w:tblGrid>
      <w:tr w14:paraId="014FA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9" w:type="dxa"/>
            <w:shd w:val="clear" w:color="auto" w:fill="D7D7D7"/>
            <w:vAlign w:val="top"/>
          </w:tcPr>
          <w:p w14:paraId="3BC24ED8">
            <w:pPr>
              <w:pStyle w:val="17"/>
              <w:keepNext w:val="0"/>
              <w:keepLines w:val="0"/>
              <w:pageBreakBefore w:val="0"/>
              <w:wordWrap/>
              <w:overflowPunct/>
              <w:bidi w:val="0"/>
              <w:spacing w:before="183" w:line="225" w:lineRule="auto"/>
              <w:ind w:left="143"/>
              <w:rPr>
                <w:rFonts w:hint="default" w:ascii="Times New Roman" w:hAnsi="Times New Roman" w:eastAsia="仿宋_GB2312" w:cs="Times New Roman"/>
                <w:b/>
                <w:bCs/>
                <w:sz w:val="19"/>
                <w:szCs w:val="19"/>
                <w:highlight w:val="none"/>
              </w:rPr>
            </w:pPr>
            <w:r>
              <w:rPr>
                <w:rFonts w:hint="default" w:ascii="Times New Roman" w:hAnsi="Times New Roman" w:eastAsia="仿宋_GB2312" w:cs="Times New Roman"/>
                <w:b/>
                <w:bCs/>
                <w:spacing w:val="5"/>
                <w:sz w:val="19"/>
                <w:szCs w:val="19"/>
                <w:highlight w:val="none"/>
              </w:rPr>
              <w:t>序号</w:t>
            </w:r>
          </w:p>
        </w:tc>
        <w:tc>
          <w:tcPr>
            <w:tcW w:w="1099" w:type="dxa"/>
            <w:shd w:val="clear" w:color="auto" w:fill="D7D7D7"/>
            <w:vAlign w:val="top"/>
          </w:tcPr>
          <w:p w14:paraId="643BD385">
            <w:pPr>
              <w:pStyle w:val="17"/>
              <w:keepNext w:val="0"/>
              <w:keepLines w:val="0"/>
              <w:pageBreakBefore w:val="0"/>
              <w:wordWrap/>
              <w:overflowPunct/>
              <w:bidi w:val="0"/>
              <w:spacing w:before="183" w:line="228" w:lineRule="auto"/>
              <w:ind w:left="238"/>
              <w:rPr>
                <w:rFonts w:hint="default" w:ascii="Times New Roman" w:hAnsi="Times New Roman" w:eastAsia="仿宋_GB2312" w:cs="Times New Roman"/>
                <w:b/>
                <w:bCs/>
                <w:sz w:val="19"/>
                <w:szCs w:val="19"/>
                <w:highlight w:val="none"/>
              </w:rPr>
            </w:pPr>
            <w:r>
              <w:rPr>
                <w:rFonts w:hint="default" w:ascii="Times New Roman" w:hAnsi="Times New Roman" w:eastAsia="仿宋_GB2312" w:cs="Times New Roman"/>
                <w:b/>
                <w:bCs/>
                <w:spacing w:val="2"/>
                <w:sz w:val="19"/>
                <w:szCs w:val="19"/>
                <w:highlight w:val="none"/>
              </w:rPr>
              <w:t>姓</w:t>
            </w:r>
            <w:r>
              <w:rPr>
                <w:rFonts w:hint="default" w:ascii="Times New Roman" w:hAnsi="Times New Roman" w:eastAsia="仿宋_GB2312" w:cs="Times New Roman"/>
                <w:b/>
                <w:bCs/>
                <w:spacing w:val="7"/>
                <w:sz w:val="19"/>
                <w:szCs w:val="19"/>
                <w:highlight w:val="none"/>
              </w:rPr>
              <w:t xml:space="preserve">  </w:t>
            </w:r>
            <w:r>
              <w:rPr>
                <w:rFonts w:hint="default" w:ascii="Times New Roman" w:hAnsi="Times New Roman" w:eastAsia="仿宋_GB2312" w:cs="Times New Roman"/>
                <w:b/>
                <w:bCs/>
                <w:spacing w:val="2"/>
                <w:sz w:val="19"/>
                <w:szCs w:val="19"/>
                <w:highlight w:val="none"/>
              </w:rPr>
              <w:t>名</w:t>
            </w:r>
          </w:p>
        </w:tc>
        <w:tc>
          <w:tcPr>
            <w:tcW w:w="1424" w:type="dxa"/>
            <w:shd w:val="clear" w:color="auto" w:fill="D7D7D7"/>
            <w:vAlign w:val="top"/>
          </w:tcPr>
          <w:p w14:paraId="28075252">
            <w:pPr>
              <w:pStyle w:val="17"/>
              <w:keepNext w:val="0"/>
              <w:keepLines w:val="0"/>
              <w:pageBreakBefore w:val="0"/>
              <w:wordWrap/>
              <w:overflowPunct/>
              <w:bidi w:val="0"/>
              <w:spacing w:before="183" w:line="228" w:lineRule="auto"/>
              <w:ind w:left="238"/>
              <w:rPr>
                <w:rFonts w:hint="default" w:ascii="Times New Roman" w:hAnsi="Times New Roman" w:eastAsia="仿宋_GB2312" w:cs="Times New Roman"/>
                <w:b/>
                <w:bCs/>
                <w:sz w:val="19"/>
                <w:szCs w:val="19"/>
                <w:highlight w:val="none"/>
              </w:rPr>
            </w:pPr>
            <w:r>
              <w:rPr>
                <w:rFonts w:hint="default" w:ascii="Times New Roman" w:hAnsi="Times New Roman" w:eastAsia="仿宋_GB2312" w:cs="Times New Roman"/>
                <w:b/>
                <w:bCs/>
                <w:spacing w:val="2"/>
                <w:sz w:val="19"/>
                <w:szCs w:val="19"/>
                <w:highlight w:val="none"/>
              </w:rPr>
              <w:t>项目中</w:t>
            </w:r>
            <w:r>
              <w:rPr>
                <w:rFonts w:hint="default" w:ascii="Times New Roman" w:hAnsi="Times New Roman" w:eastAsia="仿宋_GB2312" w:cs="Times New Roman"/>
                <w:b/>
                <w:bCs/>
                <w:spacing w:val="2"/>
                <w:sz w:val="19"/>
                <w:szCs w:val="19"/>
                <w:highlight w:val="none"/>
                <w:lang w:val="en-US" w:eastAsia="zh-CN"/>
              </w:rPr>
              <w:t>定</w:t>
            </w:r>
            <w:r>
              <w:rPr>
                <w:rFonts w:hint="default" w:ascii="Times New Roman" w:hAnsi="Times New Roman" w:eastAsia="仿宋_GB2312" w:cs="Times New Roman"/>
                <w:b/>
                <w:bCs/>
                <w:spacing w:val="2"/>
                <w:sz w:val="19"/>
                <w:szCs w:val="19"/>
                <w:highlight w:val="none"/>
              </w:rPr>
              <w:t>位</w:t>
            </w:r>
          </w:p>
        </w:tc>
        <w:tc>
          <w:tcPr>
            <w:tcW w:w="1611" w:type="dxa"/>
            <w:shd w:val="clear" w:color="auto" w:fill="D7D7D7"/>
            <w:vAlign w:val="top"/>
          </w:tcPr>
          <w:p w14:paraId="67E71344">
            <w:pPr>
              <w:pStyle w:val="17"/>
              <w:keepNext w:val="0"/>
              <w:keepLines w:val="0"/>
              <w:pageBreakBefore w:val="0"/>
              <w:wordWrap/>
              <w:overflowPunct/>
              <w:bidi w:val="0"/>
              <w:spacing w:before="49" w:line="237" w:lineRule="auto"/>
              <w:ind w:left="501" w:right="173" w:hanging="310"/>
              <w:rPr>
                <w:rFonts w:hint="default" w:ascii="Times New Roman" w:hAnsi="Times New Roman" w:eastAsia="仿宋_GB2312" w:cs="Times New Roman"/>
                <w:b/>
                <w:bCs/>
                <w:sz w:val="19"/>
                <w:szCs w:val="19"/>
                <w:highlight w:val="none"/>
              </w:rPr>
            </w:pPr>
            <w:r>
              <w:rPr>
                <w:rFonts w:hint="default" w:ascii="Times New Roman" w:hAnsi="Times New Roman" w:eastAsia="仿宋_GB2312" w:cs="Times New Roman"/>
                <w:b/>
                <w:bCs/>
                <w:spacing w:val="6"/>
                <w:sz w:val="19"/>
                <w:szCs w:val="19"/>
                <w:highlight w:val="none"/>
              </w:rPr>
              <w:t>主要执业资格</w:t>
            </w:r>
            <w:r>
              <w:rPr>
                <w:rFonts w:hint="default" w:ascii="Times New Roman" w:hAnsi="Times New Roman" w:eastAsia="仿宋_GB2312" w:cs="Times New Roman"/>
                <w:b/>
                <w:bCs/>
                <w:spacing w:val="5"/>
                <w:sz w:val="19"/>
                <w:szCs w:val="19"/>
                <w:highlight w:val="none"/>
              </w:rPr>
              <w:t>和职称</w:t>
            </w:r>
          </w:p>
        </w:tc>
        <w:tc>
          <w:tcPr>
            <w:tcW w:w="3925" w:type="dxa"/>
            <w:shd w:val="clear" w:color="auto" w:fill="D7D7D7"/>
            <w:vAlign w:val="top"/>
          </w:tcPr>
          <w:p w14:paraId="7AD785E3">
            <w:pPr>
              <w:pStyle w:val="17"/>
              <w:keepNext w:val="0"/>
              <w:keepLines w:val="0"/>
              <w:pageBreakBefore w:val="0"/>
              <w:wordWrap/>
              <w:overflowPunct/>
              <w:bidi w:val="0"/>
              <w:spacing w:before="183" w:line="225" w:lineRule="auto"/>
              <w:ind w:left="1633"/>
              <w:rPr>
                <w:rFonts w:hint="default" w:ascii="Times New Roman" w:hAnsi="Times New Roman" w:eastAsia="仿宋_GB2312" w:cs="Times New Roman"/>
                <w:b/>
                <w:bCs/>
                <w:sz w:val="19"/>
                <w:szCs w:val="19"/>
                <w:highlight w:val="none"/>
              </w:rPr>
            </w:pPr>
            <w:r>
              <w:rPr>
                <w:rFonts w:hint="default" w:ascii="Times New Roman" w:hAnsi="Times New Roman" w:eastAsia="仿宋_GB2312" w:cs="Times New Roman"/>
                <w:b/>
                <w:bCs/>
                <w:spacing w:val="5"/>
                <w:sz w:val="19"/>
                <w:szCs w:val="19"/>
                <w:highlight w:val="none"/>
              </w:rPr>
              <w:t>具体分工</w:t>
            </w:r>
          </w:p>
        </w:tc>
      </w:tr>
      <w:tr w14:paraId="1447EC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trPr>
        <w:tc>
          <w:tcPr>
            <w:tcW w:w="699" w:type="dxa"/>
            <w:vAlign w:val="center"/>
          </w:tcPr>
          <w:p w14:paraId="0318000D">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1</w:t>
            </w:r>
          </w:p>
        </w:tc>
        <w:tc>
          <w:tcPr>
            <w:tcW w:w="1099" w:type="dxa"/>
            <w:vAlign w:val="center"/>
          </w:tcPr>
          <w:p w14:paraId="2E1A89A3">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王智星</w:t>
            </w:r>
          </w:p>
        </w:tc>
        <w:tc>
          <w:tcPr>
            <w:tcW w:w="1424" w:type="dxa"/>
            <w:vAlign w:val="center"/>
          </w:tcPr>
          <w:p w14:paraId="7410C53E">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项目经理</w:t>
            </w:r>
          </w:p>
        </w:tc>
        <w:tc>
          <w:tcPr>
            <w:tcW w:w="1611" w:type="dxa"/>
            <w:vAlign w:val="center"/>
          </w:tcPr>
          <w:p w14:paraId="38C9492F">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注册会计师</w:t>
            </w:r>
          </w:p>
        </w:tc>
        <w:tc>
          <w:tcPr>
            <w:tcW w:w="3925" w:type="dxa"/>
            <w:vAlign w:val="top"/>
          </w:tcPr>
          <w:p w14:paraId="7765E020">
            <w:pPr>
              <w:pStyle w:val="18"/>
              <w:pageBreakBefore w:val="0"/>
              <w:wordWrap/>
              <w:overflowPunct/>
              <w:topLinePunct w:val="0"/>
              <w:bidi w:val="0"/>
              <w:snapToGrid/>
              <w:spacing w:line="560" w:lineRule="exact"/>
              <w:ind w:left="0" w:leftChars="0"/>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rPr>
              <w:t>起草项目工作方案；参与具体项目绩效评价指标体系的设计；参与项目实施单位的沟通，包括方案和报告初稿意见征求；参与具体项目的其他实施工作。</w:t>
            </w:r>
          </w:p>
        </w:tc>
      </w:tr>
      <w:tr w14:paraId="2CF0D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9" w:type="dxa"/>
            <w:vAlign w:val="center"/>
          </w:tcPr>
          <w:p w14:paraId="4232EF35">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2</w:t>
            </w:r>
          </w:p>
        </w:tc>
        <w:tc>
          <w:tcPr>
            <w:tcW w:w="1099" w:type="dxa"/>
            <w:vAlign w:val="center"/>
          </w:tcPr>
          <w:p w14:paraId="29AEBF45">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杨明新</w:t>
            </w:r>
          </w:p>
        </w:tc>
        <w:tc>
          <w:tcPr>
            <w:tcW w:w="1424" w:type="dxa"/>
            <w:vAlign w:val="center"/>
          </w:tcPr>
          <w:p w14:paraId="56CBD418">
            <w:pPr>
              <w:pStyle w:val="18"/>
              <w:pageBreakBefore w:val="0"/>
              <w:wordWrap/>
              <w:overflowPunct/>
              <w:topLinePunct w:val="0"/>
              <w:bidi w:val="0"/>
              <w:snapToGrid/>
              <w:spacing w:line="560" w:lineRule="exact"/>
              <w:ind w:left="0" w:leftChars="0"/>
              <w:jc w:val="center"/>
              <w:rPr>
                <w:rFonts w:ascii="Times New Roman" w:hAnsi="Times New Roman" w:cs="Times New Roman"/>
                <w:highlight w:val="none"/>
              </w:rPr>
            </w:pPr>
            <w:r>
              <w:rPr>
                <w:rFonts w:hint="default" w:ascii="Times New Roman" w:hAnsi="Times New Roman" w:cs="Times New Roman"/>
                <w:highlight w:val="none"/>
                <w:lang w:val="en-US" w:eastAsia="zh-CN"/>
              </w:rPr>
              <w:t>审计员</w:t>
            </w:r>
          </w:p>
        </w:tc>
        <w:tc>
          <w:tcPr>
            <w:tcW w:w="1611" w:type="dxa"/>
            <w:vAlign w:val="center"/>
          </w:tcPr>
          <w:p w14:paraId="4F07D552">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中级会计师</w:t>
            </w:r>
          </w:p>
        </w:tc>
        <w:tc>
          <w:tcPr>
            <w:tcW w:w="3925" w:type="dxa"/>
            <w:vAlign w:val="top"/>
          </w:tcPr>
          <w:p w14:paraId="4129B124">
            <w:pPr>
              <w:pStyle w:val="18"/>
              <w:pageBreakBefore w:val="0"/>
              <w:wordWrap/>
              <w:overflowPunct/>
              <w:topLinePunct w:val="0"/>
              <w:bidi w:val="0"/>
              <w:snapToGrid/>
              <w:spacing w:line="560" w:lineRule="exact"/>
              <w:ind w:left="0" w:leftChars="0"/>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rPr>
              <w:t>参与绩效评价指标设计，项目报告的核查检验工作。</w:t>
            </w:r>
          </w:p>
        </w:tc>
      </w:tr>
      <w:tr w14:paraId="753C3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9" w:type="dxa"/>
            <w:vAlign w:val="center"/>
          </w:tcPr>
          <w:p w14:paraId="467608BC">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3</w:t>
            </w:r>
          </w:p>
        </w:tc>
        <w:tc>
          <w:tcPr>
            <w:tcW w:w="1099" w:type="dxa"/>
            <w:vAlign w:val="center"/>
          </w:tcPr>
          <w:p w14:paraId="69C6F984">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李雨涛</w:t>
            </w:r>
          </w:p>
        </w:tc>
        <w:tc>
          <w:tcPr>
            <w:tcW w:w="1424" w:type="dxa"/>
            <w:vAlign w:val="center"/>
          </w:tcPr>
          <w:p w14:paraId="05EB36F3">
            <w:pPr>
              <w:pStyle w:val="18"/>
              <w:pageBreakBefore w:val="0"/>
              <w:wordWrap/>
              <w:overflowPunct/>
              <w:topLinePunct w:val="0"/>
              <w:bidi w:val="0"/>
              <w:snapToGrid/>
              <w:spacing w:line="560" w:lineRule="exact"/>
              <w:ind w:left="0" w:leftChars="0"/>
              <w:jc w:val="center"/>
              <w:rPr>
                <w:rFonts w:ascii="Times New Roman" w:hAnsi="Times New Roman" w:cs="Times New Roman"/>
                <w:highlight w:val="none"/>
              </w:rPr>
            </w:pPr>
            <w:r>
              <w:rPr>
                <w:rFonts w:hint="default" w:ascii="Times New Roman" w:hAnsi="Times New Roman" w:cs="Times New Roman"/>
                <w:highlight w:val="none"/>
                <w:lang w:val="en-US" w:eastAsia="zh-CN"/>
              </w:rPr>
              <w:t>审计员</w:t>
            </w:r>
          </w:p>
        </w:tc>
        <w:tc>
          <w:tcPr>
            <w:tcW w:w="1611" w:type="dxa"/>
            <w:vAlign w:val="center"/>
          </w:tcPr>
          <w:p w14:paraId="52760B93">
            <w:pPr>
              <w:pStyle w:val="18"/>
              <w:pageBreakBefore w:val="0"/>
              <w:wordWrap/>
              <w:overflowPunct/>
              <w:topLinePunct w:val="0"/>
              <w:bidi w:val="0"/>
              <w:snapToGrid/>
              <w:spacing w:line="560" w:lineRule="exact"/>
              <w:ind w:left="0" w:leftChars="0"/>
              <w:jc w:val="center"/>
              <w:rPr>
                <w:rFonts w:hint="default" w:ascii="Times New Roman" w:hAnsi="Times New Roman" w:eastAsia="仿宋_GB2312" w:cs="Times New Roman"/>
                <w:sz w:val="19"/>
                <w:szCs w:val="19"/>
                <w:highlight w:val="none"/>
              </w:rPr>
            </w:pPr>
            <w:r>
              <w:rPr>
                <w:rFonts w:hint="default" w:ascii="Times New Roman" w:hAnsi="Times New Roman" w:cs="Times New Roman"/>
                <w:highlight w:val="none"/>
                <w:lang w:val="en-US" w:eastAsia="zh-CN"/>
              </w:rPr>
              <w:t>初级会计师</w:t>
            </w:r>
          </w:p>
        </w:tc>
        <w:tc>
          <w:tcPr>
            <w:tcW w:w="3925" w:type="dxa"/>
            <w:vAlign w:val="top"/>
          </w:tcPr>
          <w:p w14:paraId="789FD78D">
            <w:pPr>
              <w:pStyle w:val="18"/>
              <w:pageBreakBefore w:val="0"/>
              <w:wordWrap/>
              <w:overflowPunct/>
              <w:topLinePunct w:val="0"/>
              <w:bidi w:val="0"/>
              <w:snapToGrid/>
              <w:spacing w:line="560" w:lineRule="exact"/>
              <w:ind w:left="0" w:leftChars="0"/>
              <w:rPr>
                <w:rFonts w:hint="default" w:ascii="Times New Roman" w:hAnsi="Times New Roman" w:eastAsia="仿宋_GB2312" w:cs="Times New Roman"/>
                <w:spacing w:val="9"/>
                <w:sz w:val="19"/>
                <w:szCs w:val="19"/>
                <w:highlight w:val="none"/>
              </w:rPr>
            </w:pPr>
            <w:r>
              <w:rPr>
                <w:rFonts w:hint="default" w:ascii="Times New Roman" w:hAnsi="Times New Roman" w:cs="Times New Roman"/>
                <w:highlight w:val="none"/>
              </w:rPr>
              <w:t>参与绩效评价指标设计，项目报告的核查检验工作。</w:t>
            </w:r>
          </w:p>
        </w:tc>
      </w:tr>
    </w:tbl>
    <w:p w14:paraId="3549A624">
      <w:pPr>
        <w:keepNext w:val="0"/>
        <w:keepLines w:val="0"/>
        <w:pageBreakBefore w:val="0"/>
        <w:numPr>
          <w:ilvl w:val="0"/>
          <w:numId w:val="0"/>
        </w:numPr>
        <w:wordWrap/>
        <w:overflowPunct/>
        <w:bidi w:val="0"/>
        <w:jc w:val="both"/>
        <w:rPr>
          <w:rFonts w:hint="default" w:ascii="Times New Roman" w:hAnsi="Times New Roman" w:eastAsia="宋体" w:cs="Times New Roman"/>
          <w:spacing w:val="8"/>
          <w:sz w:val="24"/>
          <w:szCs w:val="24"/>
          <w:highlight w:val="none"/>
          <w:lang w:val="en-US" w:eastAsia="zh-CN"/>
        </w:rPr>
      </w:pPr>
    </w:p>
    <w:p w14:paraId="55681F36">
      <w:pPr>
        <w:bidi w:val="0"/>
        <w:ind w:left="0" w:leftChars="0" w:firstLine="640" w:firstLineChars="0"/>
        <w:outlineLvl w:val="2"/>
        <w:rPr>
          <w:rFonts w:hint="default" w:ascii="Times New Roman" w:hAnsi="Times New Roman" w:cs="Times New Roman"/>
          <w:highlight w:val="none"/>
          <w:lang w:val="en-US" w:eastAsia="zh-CN"/>
        </w:rPr>
      </w:pPr>
      <w:bookmarkStart w:id="214" w:name="_Toc22469"/>
      <w:bookmarkStart w:id="215" w:name="_Toc4788"/>
      <w:bookmarkStart w:id="216" w:name="_Toc23753"/>
      <w:bookmarkStart w:id="217" w:name="_Toc21119"/>
      <w:r>
        <w:rPr>
          <w:rFonts w:hint="default" w:ascii="Times New Roman" w:hAnsi="Times New Roman" w:cs="Times New Roman"/>
          <w:highlight w:val="none"/>
          <w:lang w:val="en-US" w:eastAsia="zh-CN"/>
        </w:rPr>
        <w:t>2.组织实施</w:t>
      </w:r>
      <w:bookmarkEnd w:id="214"/>
      <w:bookmarkEnd w:id="215"/>
      <w:bookmarkEnd w:id="216"/>
      <w:bookmarkEnd w:id="217"/>
    </w:p>
    <w:p w14:paraId="505C08F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本次项目评价期间为2025年7月13日至2025年8月8日，具体安排如下：</w:t>
      </w:r>
    </w:p>
    <w:p w14:paraId="49B1BB91">
      <w:pPr>
        <w:bidi w:val="0"/>
        <w:ind w:left="0" w:leftChars="0" w:firstLine="640" w:firstLineChars="0"/>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（1）方案制定（2025年7月13日前）</w:t>
      </w:r>
    </w:p>
    <w:p w14:paraId="750CF52B">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受克拉玛依区财政局委托后，对项目资金进行调研，与预算单位沟通，收集相关资料，了解项目资金的内容、操作流程、管理机制、资金使用、产出和效果等情况，根据项目资金实际情况和绩效管理要求制定绩效评价工作方案。</w:t>
      </w:r>
    </w:p>
    <w:p w14:paraId="39E23C3C">
      <w:pPr>
        <w:bidi w:val="0"/>
        <w:ind w:left="0" w:leftChars="0" w:firstLine="640" w:firstLineChars="0"/>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（2）评价实施阶段（2025年7月25日前）</w:t>
      </w:r>
    </w:p>
    <w:p w14:paraId="7BA4F909">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资料收集（2025年7月20日前）。将资料清单发送至部门单位，预算主管部门、相关部门及科室按照预算绩效管理要求提供项目立项、申报、管理、资金使用、项目实施、过程管理、完成情况等相关信息和资料。</w:t>
      </w:r>
    </w:p>
    <w:p w14:paraId="7DD0F15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社会调查及资料整理（2025年7月25日前）。根据社会调查方案，对预算主管部门、相关负责人进行访谈，并对相关数据信息进行复核。同时，对受益对象进行满意度问卷调查。社会调查结束后，对相关材料及数据进行分析整理，并撰写形成问卷调查报告和访谈报告。</w:t>
      </w:r>
    </w:p>
    <w:p w14:paraId="2ED10909">
      <w:pPr>
        <w:bidi w:val="0"/>
        <w:ind w:left="0" w:leftChars="0" w:firstLine="640" w:firstLineChars="0"/>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（3）报告撰写阶段（2025年7月29日前）</w:t>
      </w:r>
    </w:p>
    <w:p w14:paraId="28E83530">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综合分析及撰写评价报告，对复核后的数据和资料进行汇总，依据评分标准对绩效指标进行综合分析，并形成评价结论。在此基础上，按照预算绩效管理要求撰写绩效评价报告。</w:t>
      </w:r>
    </w:p>
    <w:p w14:paraId="2F4E500B">
      <w:pPr>
        <w:bidi w:val="0"/>
        <w:ind w:left="0" w:leftChars="0" w:firstLine="640" w:firstLineChars="0"/>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（4）单位征求意见（2025年8月4日前）</w:t>
      </w:r>
    </w:p>
    <w:p w14:paraId="0E5DB3E0">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8月1日我单位将绩效评价报告和征求意见函提交项目单位征求意见，时限为三个工作日，截至8月4日项目单位未对报告反馈意见，视为无意见。</w:t>
      </w:r>
    </w:p>
    <w:p w14:paraId="3C4E90B1">
      <w:pPr>
        <w:bidi w:val="0"/>
        <w:ind w:left="0" w:leftChars="0" w:firstLine="640" w:firstLineChars="0"/>
        <w:outlineLvl w:val="9"/>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（5）报告提交（2025年8月8日前）</w:t>
      </w:r>
    </w:p>
    <w:p w14:paraId="661301C4">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撰写完成的绩效评价报告提交克拉玛依区财政局，并根据克拉玛依区财政局的安排与预算单位沟通确认。</w:t>
      </w:r>
    </w:p>
    <w:p w14:paraId="66C93545">
      <w:pPr>
        <w:pStyle w:val="3"/>
        <w:bidi w:val="0"/>
        <w:outlineLvl w:val="1"/>
        <w:rPr>
          <w:rFonts w:hint="default" w:ascii="Times New Roman" w:hAnsi="Times New Roman" w:cs="Times New Roman"/>
          <w:highlight w:val="none"/>
          <w:lang w:val="en-US" w:eastAsia="zh-CN"/>
        </w:rPr>
      </w:pPr>
      <w:bookmarkStart w:id="218" w:name="_Toc6062"/>
      <w:bookmarkStart w:id="219" w:name="_Toc8503"/>
      <w:bookmarkStart w:id="220" w:name="_Toc29218"/>
      <w:bookmarkStart w:id="221" w:name="_Toc22661"/>
      <w:r>
        <w:rPr>
          <w:rFonts w:hint="default" w:ascii="Times New Roman" w:hAnsi="Times New Roman" w:cs="Times New Roman"/>
          <w:highlight w:val="none"/>
          <w:lang w:val="en-US" w:eastAsia="zh-CN"/>
        </w:rPr>
        <w:t>三、绩效评价综合情况及结论</w:t>
      </w:r>
      <w:bookmarkEnd w:id="218"/>
      <w:bookmarkEnd w:id="219"/>
      <w:bookmarkEnd w:id="220"/>
      <w:bookmarkEnd w:id="221"/>
    </w:p>
    <w:p w14:paraId="5A572D1D">
      <w:pPr>
        <w:pStyle w:val="4"/>
        <w:bidi w:val="0"/>
        <w:outlineLvl w:val="1"/>
        <w:rPr>
          <w:rFonts w:hint="default" w:ascii="Times New Roman" w:hAnsi="Times New Roman" w:cs="Times New Roman"/>
          <w:highlight w:val="none"/>
          <w:lang w:val="en-US" w:eastAsia="zh-CN"/>
        </w:rPr>
      </w:pPr>
      <w:bookmarkStart w:id="222" w:name="_Toc27161"/>
      <w:bookmarkStart w:id="223" w:name="_Toc31043"/>
      <w:bookmarkStart w:id="224" w:name="_Toc29280"/>
      <w:bookmarkStart w:id="225" w:name="_Toc15819"/>
      <w:r>
        <w:rPr>
          <w:rFonts w:hint="default" w:ascii="Times New Roman" w:hAnsi="Times New Roman" w:cs="Times New Roman"/>
          <w:highlight w:val="none"/>
          <w:lang w:val="en-US" w:eastAsia="zh-CN"/>
        </w:rPr>
        <w:t>（一）绩效评价综合结论</w:t>
      </w:r>
      <w:bookmarkEnd w:id="222"/>
      <w:bookmarkEnd w:id="223"/>
      <w:bookmarkEnd w:id="224"/>
      <w:bookmarkEnd w:id="225"/>
    </w:p>
    <w:p w14:paraId="52F8248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绩效评价工作组通过研究、论证绩效评价指标体系及评分标准，采取数据采集和访谈的方式，对2024年国有企业退休人员社会化管理补助资金项目进行客观评价，该项目最终评价得分：99分，评价等级：“优”。具体情况描述如下：</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项目决策类指标权重为20分，得分为19分，得分率为95%，扣1分，主要原因是绩效指标设置不够合理。</w:t>
      </w:r>
    </w:p>
    <w:p w14:paraId="7D4DB631">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项目管理类指标权重为20分，得分为20分，得分率为100%，扣1分，主要为支持保安保洁费用实际费用未完全支付。</w:t>
      </w:r>
    </w:p>
    <w:p w14:paraId="2432288F">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项目产出类指标权重为40分，得分为40分，得分率为100%，主要原因为支持保安保洁人员工资次数未达标。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项目效益类指标权重为20分，得分为20分，得分率为100%。项目具体打分情况见附件1综合评分表。</w:t>
      </w:r>
    </w:p>
    <w:p w14:paraId="538B3B9E">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表3-1 得分情况表</w:t>
      </w:r>
    </w:p>
    <w:tbl>
      <w:tblPr>
        <w:tblStyle w:val="16"/>
        <w:tblW w:w="0" w:type="auto"/>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242"/>
        <w:gridCol w:w="1242"/>
        <w:gridCol w:w="1242"/>
        <w:gridCol w:w="1242"/>
        <w:gridCol w:w="1242"/>
        <w:gridCol w:w="1245"/>
      </w:tblGrid>
      <w:tr w14:paraId="237C5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242" w:type="dxa"/>
            <w:shd w:val="clear" w:color="auto" w:fill="D7D7D7"/>
            <w:vAlign w:val="center"/>
          </w:tcPr>
          <w:p w14:paraId="3CF079EE">
            <w:pPr>
              <w:pStyle w:val="18"/>
              <w:bidi w:val="0"/>
              <w:rPr>
                <w:rFonts w:hint="default" w:ascii="Times New Roman" w:hAnsi="Times New Roman" w:cs="Times New Roman"/>
                <w:highlight w:val="none"/>
              </w:rPr>
            </w:pPr>
            <w:r>
              <w:rPr>
                <w:rFonts w:hint="default" w:ascii="Times New Roman" w:hAnsi="Times New Roman" w:cs="Times New Roman"/>
                <w:highlight w:val="none"/>
              </w:rPr>
              <w:t>指标</w:t>
            </w:r>
          </w:p>
        </w:tc>
        <w:tc>
          <w:tcPr>
            <w:tcW w:w="1242" w:type="dxa"/>
            <w:shd w:val="clear" w:color="auto" w:fill="D7D7D7"/>
            <w:vAlign w:val="center"/>
          </w:tcPr>
          <w:p w14:paraId="68060669">
            <w:pPr>
              <w:pStyle w:val="18"/>
              <w:bidi w:val="0"/>
              <w:rPr>
                <w:rFonts w:hint="default" w:ascii="Times New Roman" w:hAnsi="Times New Roman" w:cs="Times New Roman"/>
                <w:highlight w:val="none"/>
              </w:rPr>
            </w:pPr>
            <w:r>
              <w:rPr>
                <w:rFonts w:hint="default" w:ascii="Times New Roman" w:hAnsi="Times New Roman" w:cs="Times New Roman"/>
                <w:highlight w:val="none"/>
              </w:rPr>
              <w:t>项目决策</w:t>
            </w:r>
          </w:p>
        </w:tc>
        <w:tc>
          <w:tcPr>
            <w:tcW w:w="1242" w:type="dxa"/>
            <w:shd w:val="clear" w:color="auto" w:fill="D7D7D7"/>
            <w:vAlign w:val="center"/>
          </w:tcPr>
          <w:p w14:paraId="0C5ADF78">
            <w:pPr>
              <w:pStyle w:val="18"/>
              <w:bidi w:val="0"/>
              <w:rPr>
                <w:rFonts w:hint="default" w:ascii="Times New Roman" w:hAnsi="Times New Roman" w:cs="Times New Roman"/>
                <w:highlight w:val="none"/>
              </w:rPr>
            </w:pPr>
            <w:r>
              <w:rPr>
                <w:rFonts w:hint="default" w:ascii="Times New Roman" w:hAnsi="Times New Roman" w:cs="Times New Roman"/>
                <w:highlight w:val="none"/>
              </w:rPr>
              <w:t>项目管理</w:t>
            </w:r>
          </w:p>
        </w:tc>
        <w:tc>
          <w:tcPr>
            <w:tcW w:w="1242" w:type="dxa"/>
            <w:shd w:val="clear" w:color="auto" w:fill="D7D7D7"/>
            <w:vAlign w:val="center"/>
          </w:tcPr>
          <w:p w14:paraId="5F0919F6">
            <w:pPr>
              <w:pStyle w:val="18"/>
              <w:bidi w:val="0"/>
              <w:rPr>
                <w:rFonts w:hint="default" w:ascii="Times New Roman" w:hAnsi="Times New Roman" w:cs="Times New Roman"/>
                <w:highlight w:val="none"/>
              </w:rPr>
            </w:pPr>
            <w:r>
              <w:rPr>
                <w:rFonts w:hint="default" w:ascii="Times New Roman" w:hAnsi="Times New Roman" w:cs="Times New Roman"/>
                <w:highlight w:val="none"/>
              </w:rPr>
              <w:t>项目产出</w:t>
            </w:r>
          </w:p>
        </w:tc>
        <w:tc>
          <w:tcPr>
            <w:tcW w:w="1242" w:type="dxa"/>
            <w:shd w:val="clear" w:color="auto" w:fill="D7D7D7"/>
            <w:vAlign w:val="center"/>
          </w:tcPr>
          <w:p w14:paraId="287EEDBB">
            <w:pPr>
              <w:pStyle w:val="18"/>
              <w:bidi w:val="0"/>
              <w:rPr>
                <w:rFonts w:hint="default" w:ascii="Times New Roman" w:hAnsi="Times New Roman" w:cs="Times New Roman"/>
                <w:highlight w:val="none"/>
              </w:rPr>
            </w:pPr>
            <w:r>
              <w:rPr>
                <w:rFonts w:hint="default" w:ascii="Times New Roman" w:hAnsi="Times New Roman" w:cs="Times New Roman"/>
                <w:highlight w:val="none"/>
              </w:rPr>
              <w:t>项目效益</w:t>
            </w:r>
          </w:p>
        </w:tc>
        <w:tc>
          <w:tcPr>
            <w:tcW w:w="1245" w:type="dxa"/>
            <w:shd w:val="clear" w:color="auto" w:fill="D7D7D7"/>
            <w:vAlign w:val="center"/>
          </w:tcPr>
          <w:p w14:paraId="23C11390">
            <w:pPr>
              <w:pStyle w:val="18"/>
              <w:bidi w:val="0"/>
              <w:rPr>
                <w:rFonts w:hint="default" w:ascii="Times New Roman" w:hAnsi="Times New Roman" w:cs="Times New Roman"/>
                <w:highlight w:val="none"/>
              </w:rPr>
            </w:pPr>
            <w:r>
              <w:rPr>
                <w:rFonts w:hint="default" w:ascii="Times New Roman" w:hAnsi="Times New Roman" w:cs="Times New Roman"/>
                <w:highlight w:val="none"/>
              </w:rPr>
              <w:t>合计</w:t>
            </w:r>
          </w:p>
        </w:tc>
      </w:tr>
      <w:tr w14:paraId="4897F0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1242" w:type="dxa"/>
            <w:vAlign w:val="center"/>
          </w:tcPr>
          <w:p w14:paraId="3F069785">
            <w:pPr>
              <w:pStyle w:val="18"/>
              <w:bidi w:val="0"/>
              <w:rPr>
                <w:rFonts w:hint="default" w:ascii="Times New Roman" w:hAnsi="Times New Roman" w:cs="Times New Roman"/>
                <w:highlight w:val="none"/>
              </w:rPr>
            </w:pPr>
            <w:r>
              <w:rPr>
                <w:rFonts w:hint="default" w:ascii="Times New Roman" w:hAnsi="Times New Roman" w:cs="Times New Roman"/>
                <w:highlight w:val="none"/>
              </w:rPr>
              <w:t>权重</w:t>
            </w:r>
          </w:p>
        </w:tc>
        <w:tc>
          <w:tcPr>
            <w:tcW w:w="1242" w:type="dxa"/>
            <w:vAlign w:val="center"/>
          </w:tcPr>
          <w:p w14:paraId="1FF98D59">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242" w:type="dxa"/>
            <w:vAlign w:val="center"/>
          </w:tcPr>
          <w:p w14:paraId="11C87F0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242" w:type="dxa"/>
            <w:vAlign w:val="center"/>
          </w:tcPr>
          <w:p w14:paraId="46B4CC5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242" w:type="dxa"/>
            <w:vAlign w:val="center"/>
          </w:tcPr>
          <w:p w14:paraId="579C7983">
            <w:pPr>
              <w:pStyle w:val="18"/>
              <w:bidi w:val="0"/>
              <w:rPr>
                <w:rFonts w:hint="default" w:ascii="Times New Roman" w:hAnsi="Times New Roman" w:cs="Times New Roman"/>
                <w:highlight w:val="none"/>
              </w:rPr>
            </w:pPr>
            <w:r>
              <w:rPr>
                <w:rFonts w:hint="default" w:ascii="Times New Roman" w:hAnsi="Times New Roman" w:cs="Times New Roman"/>
                <w:highlight w:val="none"/>
              </w:rPr>
              <w:t>20</w:t>
            </w:r>
          </w:p>
        </w:tc>
        <w:tc>
          <w:tcPr>
            <w:tcW w:w="1245" w:type="dxa"/>
            <w:vAlign w:val="center"/>
          </w:tcPr>
          <w:p w14:paraId="4A0F14F4">
            <w:pPr>
              <w:pStyle w:val="18"/>
              <w:bidi w:val="0"/>
              <w:rPr>
                <w:rFonts w:hint="default" w:ascii="Times New Roman" w:hAnsi="Times New Roman" w:cs="Times New Roman"/>
                <w:highlight w:val="none"/>
              </w:rPr>
            </w:pPr>
            <w:r>
              <w:rPr>
                <w:rFonts w:hint="default" w:ascii="Times New Roman" w:hAnsi="Times New Roman" w:cs="Times New Roman"/>
                <w:highlight w:val="none"/>
              </w:rPr>
              <w:t>100</w:t>
            </w:r>
          </w:p>
        </w:tc>
      </w:tr>
      <w:tr w14:paraId="2FCF6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trPr>
        <w:tc>
          <w:tcPr>
            <w:tcW w:w="1242" w:type="dxa"/>
            <w:vAlign w:val="center"/>
          </w:tcPr>
          <w:p w14:paraId="41116280">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1242" w:type="dxa"/>
            <w:vAlign w:val="center"/>
          </w:tcPr>
          <w:p w14:paraId="1FAB8DCC">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19</w:t>
            </w:r>
          </w:p>
        </w:tc>
        <w:tc>
          <w:tcPr>
            <w:tcW w:w="1242" w:type="dxa"/>
            <w:vAlign w:val="center"/>
          </w:tcPr>
          <w:p w14:paraId="4BA9594A">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242" w:type="dxa"/>
            <w:vAlign w:val="center"/>
          </w:tcPr>
          <w:p w14:paraId="25F1AC0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242" w:type="dxa"/>
            <w:vAlign w:val="center"/>
          </w:tcPr>
          <w:p w14:paraId="3630DAB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245" w:type="dxa"/>
            <w:vAlign w:val="center"/>
          </w:tcPr>
          <w:p w14:paraId="06EBE11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99</w:t>
            </w:r>
          </w:p>
        </w:tc>
      </w:tr>
      <w:tr w14:paraId="6FCF5C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6" w:hRule="atLeast"/>
        </w:trPr>
        <w:tc>
          <w:tcPr>
            <w:tcW w:w="1242" w:type="dxa"/>
            <w:vAlign w:val="center"/>
          </w:tcPr>
          <w:p w14:paraId="3ECFDCEE">
            <w:pPr>
              <w:pStyle w:val="18"/>
              <w:bidi w:val="0"/>
              <w:rPr>
                <w:rFonts w:hint="default" w:ascii="Times New Roman" w:hAnsi="Times New Roman" w:cs="Times New Roman"/>
                <w:highlight w:val="none"/>
              </w:rPr>
            </w:pPr>
            <w:r>
              <w:rPr>
                <w:rFonts w:hint="default" w:ascii="Times New Roman" w:hAnsi="Times New Roman" w:cs="Times New Roman"/>
                <w:highlight w:val="none"/>
              </w:rPr>
              <w:t>得分率</w:t>
            </w:r>
          </w:p>
        </w:tc>
        <w:tc>
          <w:tcPr>
            <w:tcW w:w="1242" w:type="dxa"/>
            <w:vAlign w:val="center"/>
          </w:tcPr>
          <w:p w14:paraId="3964780A">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95%</w:t>
            </w:r>
          </w:p>
        </w:tc>
        <w:tc>
          <w:tcPr>
            <w:tcW w:w="1242" w:type="dxa"/>
            <w:vAlign w:val="center"/>
          </w:tcPr>
          <w:p w14:paraId="30B8D54C">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1242" w:type="dxa"/>
            <w:vAlign w:val="center"/>
          </w:tcPr>
          <w:p w14:paraId="11C5914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1242" w:type="dxa"/>
            <w:vAlign w:val="center"/>
          </w:tcPr>
          <w:p w14:paraId="6CA31D6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100%</w:t>
            </w:r>
          </w:p>
        </w:tc>
        <w:tc>
          <w:tcPr>
            <w:tcW w:w="1245" w:type="dxa"/>
            <w:vAlign w:val="center"/>
          </w:tcPr>
          <w:p w14:paraId="4FCA8314">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99</w:t>
            </w:r>
            <w:r>
              <w:rPr>
                <w:rFonts w:hint="default" w:ascii="Times New Roman" w:hAnsi="Times New Roman" w:cs="Times New Roman"/>
                <w:highlight w:val="none"/>
              </w:rPr>
              <w:t>%</w:t>
            </w:r>
          </w:p>
        </w:tc>
      </w:tr>
    </w:tbl>
    <w:p w14:paraId="2BBF82D8">
      <w:pPr>
        <w:keepNext w:val="0"/>
        <w:keepLines w:val="0"/>
        <w:pageBreakBefore w:val="0"/>
        <w:numPr>
          <w:ilvl w:val="0"/>
          <w:numId w:val="0"/>
        </w:numPr>
        <w:wordWrap/>
        <w:overflowPunct/>
        <w:bidi w:val="0"/>
        <w:jc w:val="both"/>
        <w:rPr>
          <w:rFonts w:hint="default" w:ascii="Times New Roman" w:hAnsi="Times New Roman" w:eastAsia="宋体" w:cs="Times New Roman"/>
          <w:spacing w:val="8"/>
          <w:sz w:val="24"/>
          <w:szCs w:val="24"/>
          <w:highlight w:val="none"/>
          <w:lang w:val="en-US" w:eastAsia="zh-CN"/>
        </w:rPr>
      </w:pPr>
    </w:p>
    <w:p w14:paraId="26EAD7BB">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总体来说，该项目实施后社会效益效果较好，建议财政部门在安排该项目次年预算资金时给予保障，避免资金链断裂情况。该项目为经常性惠民项目，应当力求延续项目能够持续有效开展，以期带来更高的社会效益。</w:t>
      </w:r>
    </w:p>
    <w:p w14:paraId="5D04D62F">
      <w:pPr>
        <w:pStyle w:val="4"/>
        <w:bidi w:val="0"/>
        <w:outlineLvl w:val="1"/>
        <w:rPr>
          <w:rFonts w:hint="default" w:ascii="Times New Roman" w:hAnsi="Times New Roman" w:cs="Times New Roman"/>
          <w:highlight w:val="none"/>
          <w:lang w:val="en-US" w:eastAsia="zh-CN"/>
        </w:rPr>
      </w:pPr>
      <w:bookmarkStart w:id="226" w:name="_Toc25174"/>
      <w:bookmarkStart w:id="227" w:name="_Toc20028"/>
      <w:bookmarkStart w:id="228" w:name="_Toc28749"/>
      <w:bookmarkStart w:id="229" w:name="_Toc29096"/>
      <w:r>
        <w:rPr>
          <w:rFonts w:hint="default" w:ascii="Times New Roman" w:hAnsi="Times New Roman" w:cs="Times New Roman"/>
          <w:highlight w:val="none"/>
          <w:lang w:val="en-US" w:eastAsia="zh-CN"/>
        </w:rPr>
        <w:t>（二）绩效目标</w:t>
      </w:r>
      <w:bookmarkEnd w:id="226"/>
      <w:bookmarkEnd w:id="227"/>
      <w:bookmarkEnd w:id="228"/>
      <w:bookmarkEnd w:id="229"/>
    </w:p>
    <w:p w14:paraId="10D1DB75">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根据梳理后设置的绩效目标及指标，依据现场调研及访谈重新填报绩效目标及指标，具体情况见下表。</w:t>
      </w:r>
    </w:p>
    <w:p w14:paraId="50AC7951">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eastAsia="宋体" w:cs="Times New Roman"/>
          <w:spacing w:val="8"/>
          <w:sz w:val="24"/>
          <w:szCs w:val="24"/>
          <w:highlight w:val="none"/>
          <w:lang w:val="en-US" w:eastAsia="zh-CN"/>
        </w:rPr>
      </w:pPr>
      <w:r>
        <w:rPr>
          <w:rFonts w:hint="default" w:ascii="Times New Roman" w:hAnsi="Times New Roman" w:cs="Times New Roman"/>
          <w:b/>
          <w:bCs/>
          <w:sz w:val="24"/>
          <w:szCs w:val="24"/>
          <w:highlight w:val="none"/>
          <w:lang w:val="en-US" w:eastAsia="zh-CN"/>
        </w:rPr>
        <w:t>表3-2 绩效目标表</w:t>
      </w:r>
    </w:p>
    <w:tbl>
      <w:tblPr>
        <w:tblStyle w:val="13"/>
        <w:tblW w:w="8655"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54"/>
        <w:gridCol w:w="1646"/>
        <w:gridCol w:w="4051"/>
        <w:gridCol w:w="1704"/>
      </w:tblGrid>
      <w:tr w14:paraId="58E93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5" w:hRule="atLeast"/>
        </w:trPr>
        <w:tc>
          <w:tcPr>
            <w:tcW w:w="1254"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0FAB56A6">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646"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2BCC630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4051"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03CD4A8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1704" w:type="dxa"/>
            <w:tcBorders>
              <w:top w:val="single" w:color="000000" w:sz="4" w:space="0"/>
              <w:left w:val="single" w:color="000000" w:sz="4" w:space="0"/>
              <w:bottom w:val="single" w:color="auto" w:sz="4" w:space="0"/>
              <w:right w:val="single" w:color="000000" w:sz="4" w:space="0"/>
            </w:tcBorders>
            <w:shd w:val="clear" w:color="auto" w:fill="D7D7D7" w:themeFill="background1" w:themeFillShade="D8"/>
            <w:vAlign w:val="center"/>
          </w:tcPr>
          <w:p w14:paraId="18045C8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预期指标值</w:t>
            </w:r>
          </w:p>
        </w:tc>
      </w:tr>
      <w:tr w14:paraId="07615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54" w:type="dxa"/>
            <w:vMerge w:val="restart"/>
            <w:tcBorders>
              <w:top w:val="single" w:color="auto" w:sz="4" w:space="0"/>
              <w:left w:val="single" w:color="auto" w:sz="4" w:space="0"/>
              <w:bottom w:val="single" w:color="auto" w:sz="4" w:space="0"/>
              <w:right w:val="single" w:color="000000" w:sz="4" w:space="0"/>
            </w:tcBorders>
            <w:shd w:val="clear" w:color="auto" w:fill="auto"/>
            <w:vAlign w:val="center"/>
          </w:tcPr>
          <w:p w14:paraId="3A2CC05C">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产出指标</w:t>
            </w:r>
          </w:p>
        </w:tc>
        <w:tc>
          <w:tcPr>
            <w:tcW w:w="1646" w:type="dxa"/>
            <w:vMerge w:val="restart"/>
            <w:tcBorders>
              <w:top w:val="single" w:color="auto" w:sz="4" w:space="0"/>
              <w:left w:val="single" w:color="000000" w:sz="4" w:space="0"/>
              <w:bottom w:val="single" w:color="auto" w:sz="4" w:space="0"/>
              <w:right w:val="single" w:color="auto" w:sz="4" w:space="0"/>
            </w:tcBorders>
            <w:shd w:val="clear" w:color="auto" w:fill="auto"/>
            <w:vAlign w:val="center"/>
          </w:tcPr>
          <w:p w14:paraId="455D4B80">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4051" w:type="dxa"/>
            <w:tcBorders>
              <w:top w:val="single" w:color="auto" w:sz="4" w:space="0"/>
              <w:left w:val="single" w:color="auto" w:sz="4" w:space="0"/>
              <w:bottom w:val="single" w:color="000000" w:sz="4" w:space="0"/>
              <w:right w:val="single" w:color="000000" w:sz="4" w:space="0"/>
            </w:tcBorders>
            <w:shd w:val="clear" w:color="auto" w:fill="auto"/>
            <w:vAlign w:val="center"/>
          </w:tcPr>
          <w:p w14:paraId="00C36473">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覆盖退休站数量</w:t>
            </w:r>
          </w:p>
        </w:tc>
        <w:tc>
          <w:tcPr>
            <w:tcW w:w="1704" w:type="dxa"/>
            <w:tcBorders>
              <w:top w:val="single" w:color="auto" w:sz="4" w:space="0"/>
              <w:left w:val="single" w:color="000000" w:sz="4" w:space="0"/>
              <w:bottom w:val="single" w:color="000000" w:sz="4" w:space="0"/>
              <w:right w:val="single" w:color="auto" w:sz="4" w:space="0"/>
            </w:tcBorders>
            <w:shd w:val="clear" w:color="auto" w:fill="auto"/>
            <w:vAlign w:val="center"/>
          </w:tcPr>
          <w:p w14:paraId="0D7B7F18">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=7个</w:t>
            </w:r>
          </w:p>
        </w:tc>
      </w:tr>
      <w:tr w14:paraId="38ED1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54"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4FEB5E0B">
            <w:pPr>
              <w:pStyle w:val="18"/>
              <w:bidi w:val="0"/>
              <w:rPr>
                <w:rFonts w:hint="default" w:ascii="Times New Roman" w:hAnsi="Times New Roman" w:cs="Times New Roman"/>
                <w:highlight w:val="none"/>
              </w:rPr>
            </w:pPr>
          </w:p>
        </w:tc>
        <w:tc>
          <w:tcPr>
            <w:tcW w:w="164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1322BC60">
            <w:pPr>
              <w:pStyle w:val="18"/>
              <w:bidi w:val="0"/>
              <w:rPr>
                <w:rFonts w:hint="default" w:ascii="Times New Roman" w:hAnsi="Times New Roman" w:cs="Times New Roman"/>
                <w:highlight w:val="none"/>
              </w:rPr>
            </w:pPr>
          </w:p>
        </w:tc>
        <w:tc>
          <w:tcPr>
            <w:tcW w:w="4051" w:type="dxa"/>
            <w:tcBorders>
              <w:top w:val="single" w:color="000000" w:sz="4" w:space="0"/>
              <w:left w:val="single" w:color="auto" w:sz="4" w:space="0"/>
              <w:bottom w:val="single" w:color="auto" w:sz="4" w:space="0"/>
              <w:right w:val="single" w:color="000000" w:sz="4" w:space="0"/>
            </w:tcBorders>
            <w:shd w:val="clear" w:color="auto" w:fill="auto"/>
            <w:vAlign w:val="center"/>
          </w:tcPr>
          <w:p w14:paraId="62B949F1">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覆盖企业退休人员</w:t>
            </w:r>
          </w:p>
        </w:tc>
        <w:tc>
          <w:tcPr>
            <w:tcW w:w="1704" w:type="dxa"/>
            <w:tcBorders>
              <w:top w:val="single" w:color="000000" w:sz="4" w:space="0"/>
              <w:left w:val="single" w:color="000000" w:sz="4" w:space="0"/>
              <w:bottom w:val="single" w:color="auto" w:sz="4" w:space="0"/>
              <w:right w:val="single" w:color="auto" w:sz="4" w:space="0"/>
            </w:tcBorders>
            <w:shd w:val="clear" w:color="auto" w:fill="auto"/>
            <w:vAlign w:val="center"/>
          </w:tcPr>
          <w:p w14:paraId="006BAC8F">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&gt;=9000人</w:t>
            </w:r>
          </w:p>
        </w:tc>
      </w:tr>
      <w:tr w14:paraId="7EF5D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54" w:type="dxa"/>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442B5CBD">
            <w:pPr>
              <w:pStyle w:val="18"/>
              <w:bidi w:val="0"/>
              <w:rPr>
                <w:rFonts w:hint="default" w:ascii="Times New Roman" w:hAnsi="Times New Roman" w:cs="Times New Roman"/>
                <w:highlight w:val="none"/>
              </w:rPr>
            </w:pPr>
          </w:p>
        </w:tc>
        <w:tc>
          <w:tcPr>
            <w:tcW w:w="1646" w:type="dxa"/>
            <w:vMerge w:val="continue"/>
            <w:tcBorders>
              <w:top w:val="single" w:color="auto" w:sz="4" w:space="0"/>
              <w:left w:val="single" w:color="000000" w:sz="4" w:space="0"/>
              <w:bottom w:val="single" w:color="auto" w:sz="4" w:space="0"/>
              <w:right w:val="single" w:color="auto" w:sz="4" w:space="0"/>
            </w:tcBorders>
            <w:shd w:val="clear" w:color="auto" w:fill="auto"/>
            <w:vAlign w:val="center"/>
          </w:tcPr>
          <w:p w14:paraId="7ADD95C8">
            <w:pPr>
              <w:pStyle w:val="18"/>
              <w:bidi w:val="0"/>
              <w:rPr>
                <w:rFonts w:hint="default" w:ascii="Times New Roman" w:hAnsi="Times New Roman" w:cs="Times New Roman"/>
                <w:highlight w:val="none"/>
              </w:rPr>
            </w:pPr>
          </w:p>
        </w:tc>
        <w:tc>
          <w:tcPr>
            <w:tcW w:w="4051" w:type="dxa"/>
            <w:tcBorders>
              <w:top w:val="single" w:color="auto" w:sz="4" w:space="0"/>
              <w:left w:val="single" w:color="auto" w:sz="4" w:space="0"/>
              <w:bottom w:val="single" w:color="000000" w:sz="4" w:space="0"/>
              <w:right w:val="single" w:color="000000" w:sz="4" w:space="0"/>
            </w:tcBorders>
            <w:shd w:val="clear" w:color="auto" w:fill="auto"/>
            <w:vAlign w:val="center"/>
          </w:tcPr>
          <w:p w14:paraId="004E8AC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支持保安保洁人员工资次数</w:t>
            </w:r>
          </w:p>
        </w:tc>
        <w:tc>
          <w:tcPr>
            <w:tcW w:w="1704" w:type="dxa"/>
            <w:tcBorders>
              <w:top w:val="single" w:color="auto" w:sz="4" w:space="0"/>
              <w:left w:val="single" w:color="000000" w:sz="4" w:space="0"/>
              <w:bottom w:val="single" w:color="000000" w:sz="4" w:space="0"/>
              <w:right w:val="single" w:color="000000" w:sz="4" w:space="0"/>
            </w:tcBorders>
            <w:shd w:val="clear" w:color="auto" w:fill="auto"/>
            <w:vAlign w:val="center"/>
          </w:tcPr>
          <w:p w14:paraId="163D4F62">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&lt;=12次</w:t>
            </w:r>
          </w:p>
        </w:tc>
      </w:tr>
      <w:tr w14:paraId="3D0B5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54" w:type="dxa"/>
            <w:vMerge w:val="continue"/>
            <w:tcBorders>
              <w:top w:val="single" w:color="auto" w:sz="4" w:space="0"/>
              <w:left w:val="single" w:color="auto" w:sz="4" w:space="0"/>
              <w:right w:val="single" w:color="000000" w:sz="4" w:space="0"/>
            </w:tcBorders>
            <w:shd w:val="clear" w:color="auto" w:fill="auto"/>
            <w:vAlign w:val="center"/>
          </w:tcPr>
          <w:p w14:paraId="0F2FF362">
            <w:pPr>
              <w:pStyle w:val="18"/>
              <w:bidi w:val="0"/>
              <w:rPr>
                <w:rFonts w:hint="default" w:ascii="Times New Roman" w:hAnsi="Times New Roman" w:cs="Times New Roman"/>
                <w:highlight w:val="none"/>
              </w:rPr>
            </w:pPr>
          </w:p>
        </w:tc>
        <w:tc>
          <w:tcPr>
            <w:tcW w:w="1646" w:type="dxa"/>
            <w:tcBorders>
              <w:top w:val="single" w:color="auto" w:sz="4" w:space="0"/>
              <w:left w:val="single" w:color="000000" w:sz="4" w:space="0"/>
              <w:bottom w:val="single" w:color="000000" w:sz="4" w:space="0"/>
              <w:right w:val="single" w:color="000000" w:sz="4" w:space="0"/>
            </w:tcBorders>
            <w:shd w:val="clear" w:color="auto" w:fill="auto"/>
            <w:vAlign w:val="center"/>
          </w:tcPr>
          <w:p w14:paraId="0667695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4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4191">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保障老年活动中心正常运转率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785C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&gt;=85%</w:t>
            </w:r>
          </w:p>
        </w:tc>
      </w:tr>
      <w:tr w14:paraId="0E8C8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254" w:type="dxa"/>
            <w:vMerge w:val="continue"/>
            <w:tcBorders>
              <w:left w:val="single" w:color="auto" w:sz="4" w:space="0"/>
              <w:right w:val="single" w:color="000000" w:sz="4" w:space="0"/>
            </w:tcBorders>
            <w:shd w:val="clear" w:color="auto" w:fill="auto"/>
            <w:vAlign w:val="center"/>
          </w:tcPr>
          <w:p w14:paraId="40991891">
            <w:pPr>
              <w:pStyle w:val="18"/>
              <w:bidi w:val="0"/>
              <w:rPr>
                <w:rFonts w:hint="default" w:ascii="Times New Roman" w:hAnsi="Times New Roman" w:cs="Times New Roman"/>
                <w:highlight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AA18F">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4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5896">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经费支付及时率</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589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&gt;=90%</w:t>
            </w:r>
          </w:p>
        </w:tc>
      </w:tr>
      <w:tr w14:paraId="20B71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54" w:type="dxa"/>
            <w:vMerge w:val="continue"/>
            <w:tcBorders>
              <w:left w:val="single" w:color="auto" w:sz="4" w:space="0"/>
              <w:bottom w:val="single" w:color="000000" w:sz="4" w:space="0"/>
              <w:right w:val="single" w:color="000000" w:sz="4" w:space="0"/>
            </w:tcBorders>
            <w:shd w:val="clear" w:color="auto" w:fill="auto"/>
            <w:vAlign w:val="center"/>
          </w:tcPr>
          <w:p w14:paraId="7F35DDEB">
            <w:pPr>
              <w:pStyle w:val="18"/>
              <w:bidi w:val="0"/>
              <w:rPr>
                <w:rFonts w:hint="default" w:ascii="Times New Roman" w:hAnsi="Times New Roman" w:cs="Times New Roman"/>
                <w:highlight w:val="none"/>
              </w:rPr>
            </w:pPr>
          </w:p>
        </w:tc>
        <w:tc>
          <w:tcPr>
            <w:tcW w:w="16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5520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成本指标</w:t>
            </w:r>
          </w:p>
        </w:tc>
        <w:tc>
          <w:tcPr>
            <w:tcW w:w="4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CB5A">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支持保安保洁费用</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E7974">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&lt;=478000元</w:t>
            </w:r>
          </w:p>
        </w:tc>
      </w:tr>
      <w:tr w14:paraId="20729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1254" w:type="dxa"/>
            <w:vMerge w:val="restart"/>
            <w:tcBorders>
              <w:top w:val="single" w:color="000000" w:sz="4" w:space="0"/>
              <w:left w:val="single" w:color="000000" w:sz="4" w:space="0"/>
              <w:right w:val="single" w:color="000000" w:sz="4" w:space="0"/>
            </w:tcBorders>
            <w:shd w:val="clear" w:color="auto" w:fill="auto"/>
            <w:vAlign w:val="center"/>
          </w:tcPr>
          <w:p w14:paraId="70FE5C2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效益指标</w:t>
            </w:r>
          </w:p>
        </w:tc>
        <w:tc>
          <w:tcPr>
            <w:tcW w:w="1646" w:type="dxa"/>
            <w:vMerge w:val="restart"/>
            <w:tcBorders>
              <w:top w:val="single" w:color="000000" w:sz="4" w:space="0"/>
              <w:left w:val="single" w:color="000000" w:sz="4" w:space="0"/>
              <w:right w:val="single" w:color="000000" w:sz="4" w:space="0"/>
            </w:tcBorders>
            <w:shd w:val="clear" w:color="auto" w:fill="auto"/>
            <w:vAlign w:val="center"/>
          </w:tcPr>
          <w:p w14:paraId="7DE5693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社会效益指标</w:t>
            </w:r>
          </w:p>
        </w:tc>
        <w:tc>
          <w:tcPr>
            <w:tcW w:w="4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5C4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项目受益人数</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9744B">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&gt;=700人</w:t>
            </w:r>
          </w:p>
        </w:tc>
      </w:tr>
      <w:tr w14:paraId="335A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1254" w:type="dxa"/>
            <w:vMerge w:val="continue"/>
            <w:tcBorders>
              <w:left w:val="single" w:color="000000" w:sz="4" w:space="0"/>
              <w:bottom w:val="single" w:color="000000" w:sz="4" w:space="0"/>
              <w:right w:val="single" w:color="000000" w:sz="4" w:space="0"/>
            </w:tcBorders>
            <w:shd w:val="clear" w:color="auto" w:fill="auto"/>
            <w:vAlign w:val="center"/>
          </w:tcPr>
          <w:p w14:paraId="4746CDDD">
            <w:pPr>
              <w:pStyle w:val="18"/>
              <w:bidi w:val="0"/>
              <w:rPr>
                <w:rFonts w:hint="default" w:ascii="Times New Roman" w:hAnsi="Times New Roman" w:cs="Times New Roman"/>
                <w:highlight w:val="none"/>
              </w:rPr>
            </w:pPr>
          </w:p>
        </w:tc>
        <w:tc>
          <w:tcPr>
            <w:tcW w:w="1646" w:type="dxa"/>
            <w:vMerge w:val="continue"/>
            <w:tcBorders>
              <w:left w:val="single" w:color="000000" w:sz="4" w:space="0"/>
              <w:bottom w:val="single" w:color="000000" w:sz="4" w:space="0"/>
              <w:right w:val="single" w:color="000000" w:sz="4" w:space="0"/>
            </w:tcBorders>
            <w:shd w:val="clear" w:color="auto" w:fill="auto"/>
            <w:vAlign w:val="center"/>
          </w:tcPr>
          <w:p w14:paraId="19465BEE">
            <w:pPr>
              <w:pStyle w:val="18"/>
              <w:bidi w:val="0"/>
              <w:rPr>
                <w:rFonts w:hint="default" w:ascii="Times New Roman" w:hAnsi="Times New Roman" w:cs="Times New Roman"/>
                <w:highlight w:val="none"/>
              </w:rPr>
            </w:pPr>
          </w:p>
        </w:tc>
        <w:tc>
          <w:tcPr>
            <w:tcW w:w="40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8206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服务对象满意度</w:t>
            </w:r>
          </w:p>
        </w:tc>
        <w:tc>
          <w:tcPr>
            <w:tcW w:w="1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C62C3">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&gt;=85%</w:t>
            </w:r>
          </w:p>
        </w:tc>
      </w:tr>
    </w:tbl>
    <w:p w14:paraId="59A3A164">
      <w:pPr>
        <w:keepNext w:val="0"/>
        <w:keepLines w:val="0"/>
        <w:pageBreakBefore w:val="0"/>
        <w:numPr>
          <w:ilvl w:val="0"/>
          <w:numId w:val="0"/>
        </w:numPr>
        <w:wordWrap/>
        <w:overflowPunct/>
        <w:bidi w:val="0"/>
        <w:jc w:val="both"/>
        <w:rPr>
          <w:rFonts w:hint="default" w:ascii="Times New Roman" w:hAnsi="Times New Roman" w:eastAsia="宋体" w:cs="Times New Roman"/>
          <w:spacing w:val="8"/>
          <w:sz w:val="24"/>
          <w:szCs w:val="24"/>
          <w:highlight w:val="none"/>
          <w:lang w:val="en-US" w:eastAsia="zh-CN"/>
        </w:rPr>
      </w:pPr>
    </w:p>
    <w:p w14:paraId="6AA91CD7">
      <w:pPr>
        <w:pStyle w:val="3"/>
        <w:bidi w:val="0"/>
        <w:outlineLvl w:val="1"/>
        <w:rPr>
          <w:rFonts w:hint="default" w:ascii="Times New Roman" w:hAnsi="Times New Roman" w:cs="Times New Roman"/>
          <w:highlight w:val="none"/>
          <w:lang w:val="en-US" w:eastAsia="zh-CN"/>
        </w:rPr>
      </w:pPr>
      <w:bookmarkStart w:id="230" w:name="_Toc27201"/>
      <w:bookmarkStart w:id="231" w:name="_Toc5836"/>
      <w:bookmarkStart w:id="232" w:name="_Toc3220"/>
      <w:bookmarkStart w:id="233" w:name="_Toc13836"/>
      <w:r>
        <w:rPr>
          <w:rFonts w:hint="default" w:ascii="Times New Roman" w:hAnsi="Times New Roman" w:cs="Times New Roman"/>
          <w:highlight w:val="none"/>
          <w:lang w:val="en-US" w:eastAsia="zh-CN"/>
        </w:rPr>
        <w:t>四、绩效评价情况分析</w:t>
      </w:r>
      <w:bookmarkEnd w:id="230"/>
      <w:bookmarkEnd w:id="231"/>
      <w:bookmarkEnd w:id="232"/>
      <w:bookmarkEnd w:id="233"/>
    </w:p>
    <w:p w14:paraId="517FE5DF">
      <w:pPr>
        <w:pStyle w:val="4"/>
        <w:bidi w:val="0"/>
        <w:outlineLvl w:val="1"/>
        <w:rPr>
          <w:rFonts w:hint="default" w:ascii="Times New Roman" w:hAnsi="Times New Roman" w:cs="Times New Roman"/>
          <w:highlight w:val="none"/>
          <w:lang w:val="en-US" w:eastAsia="zh-CN"/>
        </w:rPr>
      </w:pPr>
      <w:bookmarkStart w:id="234" w:name="_Toc25778"/>
      <w:bookmarkStart w:id="235" w:name="_Toc2012"/>
      <w:bookmarkStart w:id="236" w:name="_Toc4761"/>
      <w:bookmarkStart w:id="237" w:name="_Toc30103"/>
      <w:r>
        <w:rPr>
          <w:rFonts w:hint="default" w:ascii="Times New Roman" w:hAnsi="Times New Roman" w:cs="Times New Roman"/>
          <w:highlight w:val="none"/>
          <w:lang w:val="en-US" w:eastAsia="zh-CN"/>
        </w:rPr>
        <w:t>（一）决策情况分析</w:t>
      </w:r>
      <w:bookmarkEnd w:id="234"/>
      <w:bookmarkEnd w:id="235"/>
      <w:bookmarkEnd w:id="236"/>
      <w:bookmarkEnd w:id="237"/>
    </w:p>
    <w:p w14:paraId="5CA920BB">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决策类指标是从项目立项与绩效目标两个方面来对项目进行考察，对立项依据充分性、立项程序规范性、绩效目标合理性、绩效指标明确性、预算编制科学性、资金分配合理性进行分析。项目决策类指标分值20分，实际得分19分。各指标详细得分情况如下表所示：</w:t>
      </w:r>
    </w:p>
    <w:p w14:paraId="0E193BC3">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cs="Times New Roman"/>
          <w:b/>
          <w:bCs/>
          <w:sz w:val="24"/>
          <w:szCs w:val="24"/>
          <w:highlight w:val="none"/>
          <w:lang w:val="en-US" w:eastAsia="zh-CN"/>
        </w:rPr>
      </w:pPr>
    </w:p>
    <w:p w14:paraId="3703D264">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cs="Times New Roman"/>
          <w:b/>
          <w:bCs/>
          <w:sz w:val="24"/>
          <w:szCs w:val="24"/>
          <w:highlight w:val="none"/>
          <w:lang w:val="en-US" w:eastAsia="zh-CN"/>
        </w:rPr>
      </w:pPr>
    </w:p>
    <w:p w14:paraId="6B4EB641">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cs="Times New Roman"/>
          <w:highlight w:val="none"/>
          <w:lang w:val="en-US" w:eastAsia="zh-CN"/>
        </w:rPr>
      </w:pPr>
      <w:r>
        <w:rPr>
          <w:rFonts w:hint="default" w:ascii="Times New Roman" w:hAnsi="Times New Roman" w:cs="Times New Roman"/>
          <w:b/>
          <w:bCs/>
          <w:sz w:val="24"/>
          <w:szCs w:val="24"/>
          <w:highlight w:val="none"/>
          <w:lang w:val="en-US" w:eastAsia="zh-CN"/>
        </w:rPr>
        <w:t>表4-1 项目决策得分情况表</w:t>
      </w:r>
    </w:p>
    <w:tbl>
      <w:tblPr>
        <w:tblStyle w:val="16"/>
        <w:tblW w:w="8189" w:type="dxa"/>
        <w:tblInd w:w="2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621"/>
        <w:gridCol w:w="1254"/>
        <w:gridCol w:w="667"/>
        <w:gridCol w:w="2207"/>
        <w:gridCol w:w="1175"/>
        <w:gridCol w:w="1157"/>
      </w:tblGrid>
      <w:tr w14:paraId="7209D5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1108" w:type="dxa"/>
            <w:shd w:val="clear" w:color="auto" w:fill="CFCECE"/>
            <w:vAlign w:val="center"/>
          </w:tcPr>
          <w:p w14:paraId="6F415A9F">
            <w:pPr>
              <w:pStyle w:val="18"/>
              <w:bidi w:val="0"/>
              <w:rPr>
                <w:rFonts w:hint="default" w:ascii="Times New Roman" w:hAnsi="Times New Roman" w:cs="Times New Roman"/>
                <w:highlight w:val="none"/>
              </w:rPr>
            </w:pPr>
            <w:r>
              <w:rPr>
                <w:rFonts w:hint="default" w:ascii="Times New Roman" w:hAnsi="Times New Roman" w:cs="Times New Roman"/>
                <w:highlight w:val="none"/>
              </w:rPr>
              <w:t>一级指标</w:t>
            </w:r>
          </w:p>
        </w:tc>
        <w:tc>
          <w:tcPr>
            <w:tcW w:w="621" w:type="dxa"/>
            <w:shd w:val="clear" w:color="auto" w:fill="CFCECE"/>
            <w:vAlign w:val="center"/>
          </w:tcPr>
          <w:p w14:paraId="632B6A75">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1254" w:type="dxa"/>
            <w:shd w:val="clear" w:color="auto" w:fill="CFCECE"/>
            <w:vAlign w:val="center"/>
          </w:tcPr>
          <w:p w14:paraId="4F509E1C">
            <w:pPr>
              <w:pStyle w:val="18"/>
              <w:bidi w:val="0"/>
              <w:rPr>
                <w:rFonts w:hint="default" w:ascii="Times New Roman" w:hAnsi="Times New Roman" w:cs="Times New Roman"/>
                <w:highlight w:val="none"/>
              </w:rPr>
            </w:pPr>
            <w:r>
              <w:rPr>
                <w:rFonts w:hint="default" w:ascii="Times New Roman" w:hAnsi="Times New Roman" w:cs="Times New Roman"/>
                <w:highlight w:val="none"/>
              </w:rPr>
              <w:t>二级指标</w:t>
            </w:r>
          </w:p>
        </w:tc>
        <w:tc>
          <w:tcPr>
            <w:tcW w:w="667" w:type="dxa"/>
            <w:shd w:val="clear" w:color="auto" w:fill="CFCECE"/>
            <w:vAlign w:val="center"/>
          </w:tcPr>
          <w:p w14:paraId="5961A490">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2207" w:type="dxa"/>
            <w:shd w:val="clear" w:color="auto" w:fill="CFCECE"/>
            <w:vAlign w:val="center"/>
          </w:tcPr>
          <w:p w14:paraId="7E2A9900">
            <w:pPr>
              <w:pStyle w:val="18"/>
              <w:bidi w:val="0"/>
              <w:rPr>
                <w:rFonts w:hint="default" w:ascii="Times New Roman" w:hAnsi="Times New Roman" w:cs="Times New Roman"/>
                <w:highlight w:val="none"/>
              </w:rPr>
            </w:pPr>
            <w:r>
              <w:rPr>
                <w:rFonts w:hint="default" w:ascii="Times New Roman" w:hAnsi="Times New Roman" w:cs="Times New Roman"/>
                <w:highlight w:val="none"/>
              </w:rPr>
              <w:t>三级指标</w:t>
            </w:r>
          </w:p>
        </w:tc>
        <w:tc>
          <w:tcPr>
            <w:tcW w:w="1175" w:type="dxa"/>
            <w:shd w:val="clear" w:color="auto" w:fill="CFCECE"/>
            <w:vAlign w:val="center"/>
          </w:tcPr>
          <w:p w14:paraId="57F6C11E">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1157" w:type="dxa"/>
            <w:shd w:val="clear" w:color="auto" w:fill="CFCECE"/>
            <w:vAlign w:val="center"/>
          </w:tcPr>
          <w:p w14:paraId="7231B858">
            <w:pPr>
              <w:pStyle w:val="18"/>
              <w:bidi w:val="0"/>
              <w:rPr>
                <w:rFonts w:hint="default" w:ascii="Times New Roman" w:hAnsi="Times New Roman" w:cs="Times New Roman"/>
                <w:highlight w:val="none"/>
              </w:rPr>
            </w:pPr>
            <w:r>
              <w:rPr>
                <w:rFonts w:hint="default" w:ascii="Times New Roman" w:hAnsi="Times New Roman" w:cs="Times New Roman"/>
                <w:highlight w:val="none"/>
              </w:rPr>
              <w:t>得分</w:t>
            </w:r>
          </w:p>
        </w:tc>
      </w:tr>
      <w:tr w14:paraId="05AC9C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08" w:type="dxa"/>
            <w:vMerge w:val="restart"/>
            <w:tcBorders>
              <w:bottom w:val="nil"/>
            </w:tcBorders>
            <w:vAlign w:val="center"/>
          </w:tcPr>
          <w:p w14:paraId="64251F31">
            <w:pPr>
              <w:pStyle w:val="18"/>
              <w:bidi w:val="0"/>
              <w:rPr>
                <w:rFonts w:hint="default" w:ascii="Times New Roman" w:hAnsi="Times New Roman" w:cs="Times New Roman"/>
                <w:highlight w:val="none"/>
              </w:rPr>
            </w:pPr>
            <w:r>
              <w:rPr>
                <w:rFonts w:hint="default" w:ascii="Times New Roman" w:hAnsi="Times New Roman" w:cs="Times New Roman"/>
                <w:highlight w:val="none"/>
              </w:rPr>
              <w:t>项目决策</w:t>
            </w:r>
          </w:p>
        </w:tc>
        <w:tc>
          <w:tcPr>
            <w:tcW w:w="621" w:type="dxa"/>
            <w:vMerge w:val="restart"/>
            <w:tcBorders>
              <w:bottom w:val="nil"/>
            </w:tcBorders>
            <w:vAlign w:val="center"/>
          </w:tcPr>
          <w:p w14:paraId="1A479962">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254" w:type="dxa"/>
            <w:vMerge w:val="restart"/>
            <w:tcBorders>
              <w:bottom w:val="nil"/>
            </w:tcBorders>
            <w:vAlign w:val="center"/>
          </w:tcPr>
          <w:p w14:paraId="471D7683">
            <w:pPr>
              <w:pStyle w:val="18"/>
              <w:bidi w:val="0"/>
              <w:rPr>
                <w:rFonts w:hint="default" w:ascii="Times New Roman" w:hAnsi="Times New Roman" w:cs="Times New Roman"/>
                <w:highlight w:val="none"/>
              </w:rPr>
            </w:pPr>
            <w:r>
              <w:rPr>
                <w:rFonts w:hint="default" w:ascii="Times New Roman" w:hAnsi="Times New Roman" w:cs="Times New Roman"/>
                <w:highlight w:val="none"/>
              </w:rPr>
              <w:t>项目立项</w:t>
            </w:r>
          </w:p>
        </w:tc>
        <w:tc>
          <w:tcPr>
            <w:tcW w:w="667" w:type="dxa"/>
            <w:vMerge w:val="restart"/>
            <w:tcBorders>
              <w:bottom w:val="nil"/>
            </w:tcBorders>
            <w:vAlign w:val="center"/>
          </w:tcPr>
          <w:p w14:paraId="3EC6B91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14</w:t>
            </w:r>
          </w:p>
        </w:tc>
        <w:tc>
          <w:tcPr>
            <w:tcW w:w="2207" w:type="dxa"/>
            <w:vAlign w:val="center"/>
          </w:tcPr>
          <w:p w14:paraId="0C3B6968">
            <w:pPr>
              <w:pStyle w:val="18"/>
              <w:bidi w:val="0"/>
              <w:rPr>
                <w:rFonts w:hint="default" w:ascii="Times New Roman" w:hAnsi="Times New Roman" w:cs="Times New Roman"/>
                <w:highlight w:val="none"/>
              </w:rPr>
            </w:pPr>
            <w:r>
              <w:rPr>
                <w:rFonts w:hint="default" w:ascii="Times New Roman" w:hAnsi="Times New Roman" w:cs="Times New Roman"/>
                <w:highlight w:val="none"/>
              </w:rPr>
              <w:t>立项依据充分性</w:t>
            </w:r>
          </w:p>
        </w:tc>
        <w:tc>
          <w:tcPr>
            <w:tcW w:w="1175" w:type="dxa"/>
            <w:vAlign w:val="center"/>
          </w:tcPr>
          <w:p w14:paraId="59DC1A6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w:t>
            </w:r>
          </w:p>
        </w:tc>
        <w:tc>
          <w:tcPr>
            <w:tcW w:w="1157" w:type="dxa"/>
            <w:vAlign w:val="center"/>
          </w:tcPr>
          <w:p w14:paraId="758B7E3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w:t>
            </w:r>
          </w:p>
        </w:tc>
      </w:tr>
      <w:tr w14:paraId="35385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08" w:type="dxa"/>
            <w:vMerge w:val="continue"/>
            <w:tcBorders>
              <w:top w:val="nil"/>
              <w:bottom w:val="nil"/>
            </w:tcBorders>
            <w:vAlign w:val="center"/>
          </w:tcPr>
          <w:p w14:paraId="0F9232DF">
            <w:pPr>
              <w:pStyle w:val="18"/>
              <w:bidi w:val="0"/>
              <w:rPr>
                <w:rFonts w:hint="default" w:ascii="Times New Roman" w:hAnsi="Times New Roman" w:cs="Times New Roman"/>
                <w:highlight w:val="none"/>
              </w:rPr>
            </w:pPr>
          </w:p>
        </w:tc>
        <w:tc>
          <w:tcPr>
            <w:tcW w:w="621" w:type="dxa"/>
            <w:vMerge w:val="continue"/>
            <w:tcBorders>
              <w:top w:val="nil"/>
              <w:bottom w:val="nil"/>
            </w:tcBorders>
            <w:vAlign w:val="center"/>
          </w:tcPr>
          <w:p w14:paraId="143D89A9">
            <w:pPr>
              <w:pStyle w:val="18"/>
              <w:bidi w:val="0"/>
              <w:rPr>
                <w:rFonts w:hint="default" w:ascii="Times New Roman" w:hAnsi="Times New Roman" w:cs="Times New Roman"/>
                <w:highlight w:val="none"/>
              </w:rPr>
            </w:pPr>
          </w:p>
        </w:tc>
        <w:tc>
          <w:tcPr>
            <w:tcW w:w="1254" w:type="dxa"/>
            <w:vMerge w:val="continue"/>
            <w:tcBorders>
              <w:top w:val="nil"/>
              <w:bottom w:val="nil"/>
            </w:tcBorders>
            <w:vAlign w:val="center"/>
          </w:tcPr>
          <w:p w14:paraId="29A8A70C">
            <w:pPr>
              <w:pStyle w:val="18"/>
              <w:bidi w:val="0"/>
              <w:rPr>
                <w:rFonts w:hint="default" w:ascii="Times New Roman" w:hAnsi="Times New Roman" w:cs="Times New Roman"/>
                <w:highlight w:val="none"/>
              </w:rPr>
            </w:pPr>
          </w:p>
        </w:tc>
        <w:tc>
          <w:tcPr>
            <w:tcW w:w="667" w:type="dxa"/>
            <w:vMerge w:val="continue"/>
            <w:tcBorders>
              <w:top w:val="nil"/>
              <w:bottom w:val="nil"/>
            </w:tcBorders>
            <w:vAlign w:val="center"/>
          </w:tcPr>
          <w:p w14:paraId="4A279C95">
            <w:pPr>
              <w:pStyle w:val="18"/>
              <w:bidi w:val="0"/>
              <w:rPr>
                <w:rFonts w:hint="default" w:ascii="Times New Roman" w:hAnsi="Times New Roman" w:cs="Times New Roman"/>
                <w:highlight w:val="none"/>
              </w:rPr>
            </w:pPr>
          </w:p>
        </w:tc>
        <w:tc>
          <w:tcPr>
            <w:tcW w:w="2207" w:type="dxa"/>
            <w:vAlign w:val="center"/>
          </w:tcPr>
          <w:p w14:paraId="70E0CA9D">
            <w:pPr>
              <w:pStyle w:val="18"/>
              <w:bidi w:val="0"/>
              <w:rPr>
                <w:rFonts w:hint="default" w:ascii="Times New Roman" w:hAnsi="Times New Roman" w:cs="Times New Roman"/>
                <w:highlight w:val="none"/>
              </w:rPr>
            </w:pPr>
            <w:r>
              <w:rPr>
                <w:rFonts w:hint="default" w:ascii="Times New Roman" w:hAnsi="Times New Roman" w:cs="Times New Roman"/>
                <w:highlight w:val="none"/>
              </w:rPr>
              <w:t>立项程序规范性</w:t>
            </w:r>
          </w:p>
        </w:tc>
        <w:tc>
          <w:tcPr>
            <w:tcW w:w="1175" w:type="dxa"/>
            <w:vAlign w:val="center"/>
          </w:tcPr>
          <w:p w14:paraId="375AD2B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157" w:type="dxa"/>
            <w:vAlign w:val="center"/>
          </w:tcPr>
          <w:p w14:paraId="6DFD6FAC">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0BF07A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9" w:hRule="atLeast"/>
        </w:trPr>
        <w:tc>
          <w:tcPr>
            <w:tcW w:w="1108" w:type="dxa"/>
            <w:vMerge w:val="continue"/>
            <w:tcBorders>
              <w:top w:val="nil"/>
              <w:bottom w:val="nil"/>
            </w:tcBorders>
            <w:vAlign w:val="center"/>
          </w:tcPr>
          <w:p w14:paraId="1CDE59E5">
            <w:pPr>
              <w:pStyle w:val="18"/>
              <w:bidi w:val="0"/>
              <w:rPr>
                <w:rFonts w:hint="default" w:ascii="Times New Roman" w:hAnsi="Times New Roman" w:cs="Times New Roman"/>
                <w:highlight w:val="none"/>
              </w:rPr>
            </w:pPr>
          </w:p>
        </w:tc>
        <w:tc>
          <w:tcPr>
            <w:tcW w:w="621" w:type="dxa"/>
            <w:vMerge w:val="continue"/>
            <w:tcBorders>
              <w:top w:val="nil"/>
              <w:bottom w:val="nil"/>
            </w:tcBorders>
            <w:vAlign w:val="center"/>
          </w:tcPr>
          <w:p w14:paraId="0D753C0A">
            <w:pPr>
              <w:pStyle w:val="18"/>
              <w:bidi w:val="0"/>
              <w:rPr>
                <w:rFonts w:hint="default" w:ascii="Times New Roman" w:hAnsi="Times New Roman" w:cs="Times New Roman"/>
                <w:highlight w:val="none"/>
              </w:rPr>
            </w:pPr>
          </w:p>
        </w:tc>
        <w:tc>
          <w:tcPr>
            <w:tcW w:w="1254" w:type="dxa"/>
            <w:vMerge w:val="continue"/>
            <w:tcBorders>
              <w:top w:val="nil"/>
              <w:bottom w:val="nil"/>
            </w:tcBorders>
            <w:vAlign w:val="center"/>
          </w:tcPr>
          <w:p w14:paraId="14D07AEF">
            <w:pPr>
              <w:pStyle w:val="18"/>
              <w:bidi w:val="0"/>
              <w:rPr>
                <w:rFonts w:hint="default" w:ascii="Times New Roman" w:hAnsi="Times New Roman" w:cs="Times New Roman"/>
                <w:highlight w:val="none"/>
              </w:rPr>
            </w:pPr>
          </w:p>
        </w:tc>
        <w:tc>
          <w:tcPr>
            <w:tcW w:w="667" w:type="dxa"/>
            <w:vMerge w:val="continue"/>
            <w:tcBorders>
              <w:top w:val="nil"/>
              <w:bottom w:val="nil"/>
            </w:tcBorders>
            <w:vAlign w:val="center"/>
          </w:tcPr>
          <w:p w14:paraId="4D004311">
            <w:pPr>
              <w:pStyle w:val="18"/>
              <w:bidi w:val="0"/>
              <w:rPr>
                <w:rFonts w:hint="default" w:ascii="Times New Roman" w:hAnsi="Times New Roman" w:cs="Times New Roman"/>
                <w:highlight w:val="none"/>
              </w:rPr>
            </w:pPr>
          </w:p>
        </w:tc>
        <w:tc>
          <w:tcPr>
            <w:tcW w:w="2207" w:type="dxa"/>
            <w:vAlign w:val="center"/>
          </w:tcPr>
          <w:p w14:paraId="2B6BEA1E">
            <w:pPr>
              <w:pStyle w:val="18"/>
              <w:bidi w:val="0"/>
              <w:rPr>
                <w:rFonts w:hint="default" w:ascii="Times New Roman" w:hAnsi="Times New Roman" w:cs="Times New Roman"/>
                <w:highlight w:val="none"/>
              </w:rPr>
            </w:pPr>
            <w:r>
              <w:rPr>
                <w:rFonts w:hint="default" w:ascii="Times New Roman" w:hAnsi="Times New Roman" w:cs="Times New Roman"/>
                <w:highlight w:val="none"/>
              </w:rPr>
              <w:t>绩效目标合理性</w:t>
            </w:r>
          </w:p>
        </w:tc>
        <w:tc>
          <w:tcPr>
            <w:tcW w:w="1175" w:type="dxa"/>
            <w:vAlign w:val="center"/>
          </w:tcPr>
          <w:p w14:paraId="516D22BD">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w:t>
            </w:r>
          </w:p>
        </w:tc>
        <w:tc>
          <w:tcPr>
            <w:tcW w:w="1157" w:type="dxa"/>
            <w:vAlign w:val="center"/>
          </w:tcPr>
          <w:p w14:paraId="2C2409E6">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w:t>
            </w:r>
          </w:p>
        </w:tc>
      </w:tr>
      <w:tr w14:paraId="7672E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08" w:type="dxa"/>
            <w:vMerge w:val="continue"/>
            <w:tcBorders>
              <w:top w:val="nil"/>
              <w:bottom w:val="nil"/>
            </w:tcBorders>
            <w:vAlign w:val="center"/>
          </w:tcPr>
          <w:p w14:paraId="5A1AE1E6">
            <w:pPr>
              <w:pStyle w:val="18"/>
              <w:bidi w:val="0"/>
              <w:rPr>
                <w:rFonts w:hint="default" w:ascii="Times New Roman" w:hAnsi="Times New Roman" w:cs="Times New Roman"/>
                <w:highlight w:val="none"/>
              </w:rPr>
            </w:pPr>
          </w:p>
        </w:tc>
        <w:tc>
          <w:tcPr>
            <w:tcW w:w="621" w:type="dxa"/>
            <w:vMerge w:val="continue"/>
            <w:tcBorders>
              <w:top w:val="nil"/>
              <w:bottom w:val="nil"/>
            </w:tcBorders>
            <w:vAlign w:val="center"/>
          </w:tcPr>
          <w:p w14:paraId="7418107D">
            <w:pPr>
              <w:pStyle w:val="18"/>
              <w:bidi w:val="0"/>
              <w:rPr>
                <w:rFonts w:hint="default" w:ascii="Times New Roman" w:hAnsi="Times New Roman" w:cs="Times New Roman"/>
                <w:highlight w:val="none"/>
              </w:rPr>
            </w:pPr>
          </w:p>
        </w:tc>
        <w:tc>
          <w:tcPr>
            <w:tcW w:w="1254" w:type="dxa"/>
            <w:vMerge w:val="continue"/>
            <w:tcBorders>
              <w:top w:val="nil"/>
            </w:tcBorders>
            <w:vAlign w:val="center"/>
          </w:tcPr>
          <w:p w14:paraId="1FC30F6D">
            <w:pPr>
              <w:pStyle w:val="18"/>
              <w:bidi w:val="0"/>
              <w:rPr>
                <w:rFonts w:hint="default" w:ascii="Times New Roman" w:hAnsi="Times New Roman" w:cs="Times New Roman"/>
                <w:highlight w:val="none"/>
              </w:rPr>
            </w:pPr>
          </w:p>
        </w:tc>
        <w:tc>
          <w:tcPr>
            <w:tcW w:w="667" w:type="dxa"/>
            <w:vMerge w:val="continue"/>
            <w:tcBorders>
              <w:top w:val="nil"/>
            </w:tcBorders>
            <w:vAlign w:val="center"/>
          </w:tcPr>
          <w:p w14:paraId="1CEA6027">
            <w:pPr>
              <w:pStyle w:val="18"/>
              <w:bidi w:val="0"/>
              <w:rPr>
                <w:rFonts w:hint="default" w:ascii="Times New Roman" w:hAnsi="Times New Roman" w:cs="Times New Roman"/>
                <w:highlight w:val="none"/>
              </w:rPr>
            </w:pPr>
          </w:p>
        </w:tc>
        <w:tc>
          <w:tcPr>
            <w:tcW w:w="2207" w:type="dxa"/>
            <w:vAlign w:val="center"/>
          </w:tcPr>
          <w:p w14:paraId="07A41369">
            <w:pPr>
              <w:pStyle w:val="18"/>
              <w:bidi w:val="0"/>
              <w:rPr>
                <w:rFonts w:hint="default" w:ascii="Times New Roman" w:hAnsi="Times New Roman" w:cs="Times New Roman"/>
                <w:highlight w:val="none"/>
              </w:rPr>
            </w:pPr>
            <w:r>
              <w:rPr>
                <w:rFonts w:hint="default" w:ascii="Times New Roman" w:hAnsi="Times New Roman" w:cs="Times New Roman"/>
                <w:highlight w:val="none"/>
              </w:rPr>
              <w:t>绩效指标明确性</w:t>
            </w:r>
          </w:p>
        </w:tc>
        <w:tc>
          <w:tcPr>
            <w:tcW w:w="1175" w:type="dxa"/>
            <w:vAlign w:val="center"/>
          </w:tcPr>
          <w:p w14:paraId="43034BE7">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157" w:type="dxa"/>
            <w:vAlign w:val="center"/>
          </w:tcPr>
          <w:p w14:paraId="76F7EED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p>
        </w:tc>
      </w:tr>
      <w:tr w14:paraId="50B564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08" w:type="dxa"/>
            <w:vMerge w:val="continue"/>
            <w:tcBorders>
              <w:top w:val="nil"/>
              <w:bottom w:val="nil"/>
            </w:tcBorders>
            <w:vAlign w:val="center"/>
          </w:tcPr>
          <w:p w14:paraId="213D04D5">
            <w:pPr>
              <w:pStyle w:val="18"/>
              <w:bidi w:val="0"/>
              <w:rPr>
                <w:rFonts w:hint="default" w:ascii="Times New Roman" w:hAnsi="Times New Roman" w:cs="Times New Roman"/>
                <w:highlight w:val="none"/>
              </w:rPr>
            </w:pPr>
          </w:p>
        </w:tc>
        <w:tc>
          <w:tcPr>
            <w:tcW w:w="621" w:type="dxa"/>
            <w:vMerge w:val="continue"/>
            <w:tcBorders>
              <w:top w:val="nil"/>
              <w:bottom w:val="nil"/>
            </w:tcBorders>
            <w:vAlign w:val="center"/>
          </w:tcPr>
          <w:p w14:paraId="34EF4608">
            <w:pPr>
              <w:pStyle w:val="18"/>
              <w:bidi w:val="0"/>
              <w:rPr>
                <w:rFonts w:hint="default" w:ascii="Times New Roman" w:hAnsi="Times New Roman" w:cs="Times New Roman"/>
                <w:highlight w:val="none"/>
              </w:rPr>
            </w:pPr>
          </w:p>
        </w:tc>
        <w:tc>
          <w:tcPr>
            <w:tcW w:w="1254" w:type="dxa"/>
            <w:vMerge w:val="restart"/>
            <w:tcBorders>
              <w:bottom w:val="nil"/>
            </w:tcBorders>
            <w:vAlign w:val="center"/>
          </w:tcPr>
          <w:p w14:paraId="587E6DB1">
            <w:pPr>
              <w:pStyle w:val="18"/>
              <w:bidi w:val="0"/>
              <w:rPr>
                <w:rFonts w:hint="default" w:ascii="Times New Roman" w:hAnsi="Times New Roman" w:cs="Times New Roman"/>
                <w:highlight w:val="none"/>
              </w:rPr>
            </w:pPr>
            <w:r>
              <w:rPr>
                <w:rFonts w:hint="default" w:ascii="Times New Roman" w:hAnsi="Times New Roman" w:cs="Times New Roman"/>
                <w:highlight w:val="none"/>
              </w:rPr>
              <w:t>绩效目标</w:t>
            </w:r>
          </w:p>
        </w:tc>
        <w:tc>
          <w:tcPr>
            <w:tcW w:w="667" w:type="dxa"/>
            <w:vMerge w:val="restart"/>
            <w:tcBorders>
              <w:bottom w:val="nil"/>
            </w:tcBorders>
            <w:vAlign w:val="center"/>
          </w:tcPr>
          <w:p w14:paraId="73EC7E9B">
            <w:pPr>
              <w:pStyle w:val="18"/>
              <w:bidi w:val="0"/>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6</w:t>
            </w:r>
          </w:p>
        </w:tc>
        <w:tc>
          <w:tcPr>
            <w:tcW w:w="2207" w:type="dxa"/>
            <w:vAlign w:val="center"/>
          </w:tcPr>
          <w:p w14:paraId="763499A0">
            <w:pPr>
              <w:pStyle w:val="18"/>
              <w:bidi w:val="0"/>
              <w:rPr>
                <w:rFonts w:hint="default" w:ascii="Times New Roman" w:hAnsi="Times New Roman" w:cs="Times New Roman"/>
                <w:highlight w:val="none"/>
              </w:rPr>
            </w:pPr>
            <w:r>
              <w:rPr>
                <w:rFonts w:hint="default" w:ascii="Times New Roman" w:hAnsi="Times New Roman" w:cs="Times New Roman"/>
                <w:highlight w:val="none"/>
              </w:rPr>
              <w:t>预算编制科学性</w:t>
            </w:r>
          </w:p>
        </w:tc>
        <w:tc>
          <w:tcPr>
            <w:tcW w:w="1175" w:type="dxa"/>
            <w:vAlign w:val="center"/>
          </w:tcPr>
          <w:p w14:paraId="5FA35A8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157" w:type="dxa"/>
            <w:vAlign w:val="center"/>
          </w:tcPr>
          <w:p w14:paraId="3257FDF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110288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08" w:type="dxa"/>
            <w:vMerge w:val="continue"/>
            <w:tcBorders>
              <w:top w:val="nil"/>
            </w:tcBorders>
            <w:vAlign w:val="center"/>
          </w:tcPr>
          <w:p w14:paraId="14B76317">
            <w:pPr>
              <w:pStyle w:val="18"/>
              <w:bidi w:val="0"/>
              <w:rPr>
                <w:rFonts w:hint="default" w:ascii="Times New Roman" w:hAnsi="Times New Roman" w:cs="Times New Roman"/>
                <w:highlight w:val="none"/>
              </w:rPr>
            </w:pPr>
          </w:p>
        </w:tc>
        <w:tc>
          <w:tcPr>
            <w:tcW w:w="621" w:type="dxa"/>
            <w:vMerge w:val="continue"/>
            <w:tcBorders>
              <w:top w:val="nil"/>
            </w:tcBorders>
            <w:vAlign w:val="center"/>
          </w:tcPr>
          <w:p w14:paraId="76D99D92">
            <w:pPr>
              <w:pStyle w:val="18"/>
              <w:bidi w:val="0"/>
              <w:rPr>
                <w:rFonts w:hint="default" w:ascii="Times New Roman" w:hAnsi="Times New Roman" w:cs="Times New Roman"/>
                <w:highlight w:val="none"/>
              </w:rPr>
            </w:pPr>
          </w:p>
        </w:tc>
        <w:tc>
          <w:tcPr>
            <w:tcW w:w="1254" w:type="dxa"/>
            <w:vMerge w:val="continue"/>
            <w:tcBorders>
              <w:top w:val="nil"/>
            </w:tcBorders>
            <w:vAlign w:val="center"/>
          </w:tcPr>
          <w:p w14:paraId="261CAA0D">
            <w:pPr>
              <w:pStyle w:val="18"/>
              <w:bidi w:val="0"/>
              <w:rPr>
                <w:rFonts w:hint="default" w:ascii="Times New Roman" w:hAnsi="Times New Roman" w:cs="Times New Roman"/>
                <w:highlight w:val="none"/>
              </w:rPr>
            </w:pPr>
          </w:p>
        </w:tc>
        <w:tc>
          <w:tcPr>
            <w:tcW w:w="667" w:type="dxa"/>
            <w:vMerge w:val="continue"/>
            <w:tcBorders>
              <w:top w:val="nil"/>
            </w:tcBorders>
            <w:vAlign w:val="center"/>
          </w:tcPr>
          <w:p w14:paraId="3AF4CA11">
            <w:pPr>
              <w:pStyle w:val="18"/>
              <w:bidi w:val="0"/>
              <w:rPr>
                <w:rFonts w:hint="default" w:ascii="Times New Roman" w:hAnsi="Times New Roman" w:cs="Times New Roman"/>
                <w:highlight w:val="none"/>
              </w:rPr>
            </w:pPr>
          </w:p>
        </w:tc>
        <w:tc>
          <w:tcPr>
            <w:tcW w:w="2207" w:type="dxa"/>
            <w:vAlign w:val="center"/>
          </w:tcPr>
          <w:p w14:paraId="471B4FB8">
            <w:pPr>
              <w:pStyle w:val="18"/>
              <w:bidi w:val="0"/>
              <w:rPr>
                <w:rFonts w:hint="default" w:ascii="Times New Roman" w:hAnsi="Times New Roman" w:cs="Times New Roman"/>
                <w:highlight w:val="none"/>
              </w:rPr>
            </w:pPr>
            <w:r>
              <w:rPr>
                <w:rFonts w:hint="default" w:ascii="Times New Roman" w:hAnsi="Times New Roman" w:cs="Times New Roman"/>
                <w:highlight w:val="none"/>
              </w:rPr>
              <w:t>资金分配合理性</w:t>
            </w:r>
          </w:p>
        </w:tc>
        <w:tc>
          <w:tcPr>
            <w:tcW w:w="1175" w:type="dxa"/>
            <w:vAlign w:val="center"/>
          </w:tcPr>
          <w:p w14:paraId="57C4F1B5">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157" w:type="dxa"/>
            <w:vAlign w:val="center"/>
          </w:tcPr>
          <w:p w14:paraId="23B9144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50A9B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2983" w:type="dxa"/>
            <w:gridSpan w:val="3"/>
            <w:vAlign w:val="center"/>
          </w:tcPr>
          <w:p w14:paraId="4E8F7E62">
            <w:pPr>
              <w:pStyle w:val="18"/>
              <w:bidi w:val="0"/>
              <w:rPr>
                <w:rFonts w:hint="default" w:ascii="Times New Roman" w:hAnsi="Times New Roman" w:cs="Times New Roman"/>
                <w:highlight w:val="none"/>
              </w:rPr>
            </w:pPr>
            <w:r>
              <w:rPr>
                <w:rFonts w:hint="default" w:ascii="Times New Roman" w:hAnsi="Times New Roman" w:cs="Times New Roman"/>
                <w:highlight w:val="none"/>
              </w:rPr>
              <w:t>合计</w:t>
            </w:r>
          </w:p>
        </w:tc>
        <w:tc>
          <w:tcPr>
            <w:tcW w:w="667" w:type="dxa"/>
            <w:vAlign w:val="center"/>
          </w:tcPr>
          <w:p w14:paraId="4A630864">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2</w:t>
            </w:r>
            <w:r>
              <w:rPr>
                <w:rFonts w:hint="default" w:ascii="Times New Roman" w:hAnsi="Times New Roman" w:cs="Times New Roman"/>
                <w:highlight w:val="none"/>
              </w:rPr>
              <w:t>0</w:t>
            </w:r>
          </w:p>
        </w:tc>
        <w:tc>
          <w:tcPr>
            <w:tcW w:w="2207" w:type="dxa"/>
            <w:vAlign w:val="center"/>
          </w:tcPr>
          <w:p w14:paraId="724A2CB6">
            <w:pPr>
              <w:pStyle w:val="18"/>
              <w:bidi w:val="0"/>
              <w:rPr>
                <w:rFonts w:hint="default" w:ascii="Times New Roman" w:hAnsi="Times New Roman" w:cs="Times New Roman"/>
                <w:highlight w:val="none"/>
              </w:rPr>
            </w:pPr>
          </w:p>
        </w:tc>
        <w:tc>
          <w:tcPr>
            <w:tcW w:w="1175" w:type="dxa"/>
            <w:vAlign w:val="center"/>
          </w:tcPr>
          <w:p w14:paraId="0841B1C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157" w:type="dxa"/>
            <w:vAlign w:val="center"/>
          </w:tcPr>
          <w:p w14:paraId="6EECD3F8">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19</w:t>
            </w:r>
          </w:p>
        </w:tc>
      </w:tr>
    </w:tbl>
    <w:p w14:paraId="4EC61343">
      <w:pPr>
        <w:keepNext w:val="0"/>
        <w:keepLines w:val="0"/>
        <w:pageBreakBefore w:val="0"/>
        <w:widowControl/>
        <w:kinsoku/>
        <w:wordWrap/>
        <w:overflowPunct/>
        <w:topLinePunct w:val="0"/>
        <w:autoSpaceDE/>
        <w:autoSpaceDN/>
        <w:bidi w:val="0"/>
        <w:adjustRightInd w:val="0"/>
        <w:snapToGrid w:val="0"/>
        <w:textAlignment w:val="baseline"/>
        <w:rPr>
          <w:rFonts w:hint="default" w:ascii="Times New Roman" w:hAnsi="Times New Roman" w:cs="Times New Roman"/>
          <w:highlight w:val="none"/>
          <w:lang w:val="en-US" w:eastAsia="zh-CN"/>
        </w:rPr>
      </w:pPr>
      <w:r>
        <w:rPr>
          <w:rFonts w:hint="default" w:ascii="Times New Roman" w:hAnsi="Times New Roman" w:eastAsia="宋体" w:cs="Times New Roman"/>
          <w:spacing w:val="8"/>
          <w:szCs w:val="24"/>
          <w:highlight w:val="none"/>
          <w:lang w:val="en-US" w:eastAsia="zh-CN"/>
        </w:rPr>
        <w:br w:type="textWrapping"/>
      </w:r>
      <w:r>
        <w:rPr>
          <w:rFonts w:hint="default" w:ascii="Times New Roman" w:hAnsi="Times New Roman" w:eastAsia="宋体" w:cs="Times New Roman"/>
          <w:spacing w:val="8"/>
          <w:szCs w:val="24"/>
          <w:highlight w:val="none"/>
          <w:lang w:val="en-US" w:eastAsia="zh-CN"/>
        </w:rPr>
        <w:tab/>
      </w:r>
      <w:r>
        <w:rPr>
          <w:rFonts w:hint="default" w:ascii="Times New Roman" w:hAnsi="Times New Roman" w:cs="Times New Roman"/>
          <w:b/>
          <w:bCs/>
          <w:highlight w:val="none"/>
          <w:lang w:val="en-US" w:eastAsia="zh-CN"/>
        </w:rPr>
        <w:t>对于“立项依据充分性”：</w:t>
      </w:r>
      <w:r>
        <w:rPr>
          <w:rFonts w:hint="default" w:ascii="Times New Roman" w:hAnsi="Times New Roman" w:cs="Times New Roman"/>
          <w:highlight w:val="none"/>
          <w:lang w:val="en-US" w:eastAsia="zh-CN"/>
        </w:rPr>
        <w:t>①项目立项符合《自治区党委办公厅、自治区人民政府办公厅&lt;关于加快推进国有企业退休人员社会化管理的工作方案&gt;的通知》(新党厅字〔2019〕69号)和《财政部国资委关于支持地方做好中央企业及原下放企业退休人员社会化管理工作的通知》(财资〔2020〕1号)、《关于印发〈克拉玛依市国有企业退休人员社会化管理服务暂行办法〉的通知》（新克政发〔2020〕63号）、《关于进一步加强国有企业退休人员社会化管理补助资金使用管理的通知》（新财办企〔2023〕1号）等规划及政策要求；②项目立项与克拉玛依区昆仑路街道办事处职责范围相符，属于克拉玛依区昆仑路街道办事处履职所需；③项目由克拉玛依区昆仑路街道办事处承担财政事权的支出责任，主要实行市统筹上级补助资金，财政局按照预算情况进行划拨。项目属于公共财政支持范围，符合事权支出责任划分原则；④项目与相关部门同类项目或部门内部相关项目之间不存在重复。综上所述，该指标满分4分，得分4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对于“立项程序规范性”：</w:t>
      </w:r>
      <w:r>
        <w:rPr>
          <w:rFonts w:hint="default" w:ascii="Times New Roman" w:hAnsi="Times New Roman" w:cs="Times New Roman"/>
          <w:highlight w:val="none"/>
          <w:lang w:val="en-US" w:eastAsia="zh-CN"/>
        </w:rPr>
        <w:t>①项目按照规定的程序申请设立；②项目立项申请文件由上级部门审批同意，符合相关要求；综上所述，该指标满分3分，得分3分。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对于“绩效目标合理性”：</w:t>
      </w:r>
      <w:r>
        <w:rPr>
          <w:rFonts w:hint="default" w:ascii="Times New Roman" w:hAnsi="Times New Roman" w:cs="Times New Roman"/>
          <w:highlight w:val="none"/>
          <w:lang w:val="en-US" w:eastAsia="zh-CN"/>
        </w:rPr>
        <w:t>依据项目资料，①项目已经设定绩效目标；②项目绩效目标与实际工作内容具备相关性。综上所述，该指标满分4分，得分4分。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对于“绩效指标明确性”：</w:t>
      </w:r>
      <w:r>
        <w:rPr>
          <w:rFonts w:hint="default" w:ascii="Times New Roman" w:hAnsi="Times New Roman" w:cs="Times New Roman"/>
          <w:highlight w:val="none"/>
          <w:lang w:val="en-US" w:eastAsia="zh-CN"/>
        </w:rPr>
        <w:t>根据提供的项目绩效目标表，①项目已将项目绩效目标细化、分解为具体的绩效指标，项目目标表设置三级指标8条，②部分指标无法明确反映项目效果，例如项目受益人数指标定义为单项活动人数，但仅统计单项活动受益人数无法全面地反映整体项目效益。综上所述，该指标满分3分，扣1分，得分2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对于“预算编制科学性”：</w:t>
      </w:r>
      <w:r>
        <w:rPr>
          <w:rFonts w:hint="default" w:ascii="Times New Roman" w:hAnsi="Times New Roman" w:cs="Times New Roman"/>
          <w:highlight w:val="none"/>
          <w:lang w:val="en-US" w:eastAsia="zh-CN"/>
        </w:rPr>
        <w:t>①项目预算编制较为准确；②预算内容与项目内容匹配；③预算额度测算依据充分，按照标准编制；④预算确定的项目金额与工作任务相匹配。综上所述，该指标满分3分，得分3分。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对于“资金分配合理性”：</w:t>
      </w:r>
      <w:r>
        <w:rPr>
          <w:rFonts w:hint="default" w:ascii="Times New Roman" w:hAnsi="Times New Roman" w:cs="Times New Roman"/>
          <w:highlight w:val="none"/>
          <w:lang w:val="en-US" w:eastAsia="zh-CN"/>
        </w:rPr>
        <w:t>依据绩效目标申报表可知，项目预算资金分配依据充分，资金分配合理，与克拉玛依市本地实际相适应。综上所述，该指标满分3分，得分3分。</w:t>
      </w:r>
    </w:p>
    <w:p w14:paraId="6E973F74">
      <w:pPr>
        <w:pStyle w:val="4"/>
        <w:bidi w:val="0"/>
        <w:outlineLvl w:val="1"/>
        <w:rPr>
          <w:rFonts w:hint="default" w:ascii="Times New Roman" w:hAnsi="Times New Roman" w:cs="Times New Roman"/>
          <w:highlight w:val="none"/>
          <w:lang w:val="en-US" w:eastAsia="zh-CN"/>
        </w:rPr>
      </w:pPr>
      <w:bookmarkStart w:id="238" w:name="_Toc18451"/>
      <w:bookmarkStart w:id="239" w:name="_Toc21138"/>
      <w:bookmarkStart w:id="240" w:name="_Toc3827"/>
      <w:bookmarkStart w:id="241" w:name="_Toc32091"/>
      <w:r>
        <w:rPr>
          <w:rFonts w:hint="default" w:ascii="Times New Roman" w:hAnsi="Times New Roman" w:cs="Times New Roman"/>
          <w:highlight w:val="none"/>
          <w:lang w:val="en-US" w:eastAsia="zh-CN"/>
        </w:rPr>
        <w:t>（二）管理情况分析</w:t>
      </w:r>
      <w:bookmarkEnd w:id="238"/>
      <w:bookmarkEnd w:id="239"/>
      <w:bookmarkEnd w:id="240"/>
      <w:bookmarkEnd w:id="241"/>
    </w:p>
    <w:p w14:paraId="6DFB9A3E">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管理类指标是从项目的资金管理和组织实施两个方面来对项目实施进行考察，主要从资金到位率、预算执行率、资金使用合规性、管理制度健全性、制度执行有效性、项目质量可控性、自评及整改进行分析。项目管理类指标分值20分，实际得分20分。指标的得分情况如表所示。</w:t>
      </w:r>
    </w:p>
    <w:p w14:paraId="5899C857">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ascii="Times New Roman" w:hAnsi="Times New Roman" w:eastAsia="仿宋" w:cs="Times New Roman"/>
          <w:sz w:val="24"/>
          <w:szCs w:val="24"/>
          <w:highlight w:val="none"/>
        </w:rPr>
      </w:pPr>
      <w:r>
        <w:rPr>
          <w:rFonts w:hint="default" w:ascii="Times New Roman" w:hAnsi="Times New Roman" w:cs="Times New Roman"/>
          <w:b/>
          <w:bCs/>
          <w:sz w:val="24"/>
          <w:szCs w:val="24"/>
          <w:highlight w:val="none"/>
          <w:lang w:val="en-US" w:eastAsia="zh-CN"/>
        </w:rPr>
        <w:t>表4-2 项目管理得分情况表</w:t>
      </w:r>
    </w:p>
    <w:tbl>
      <w:tblPr>
        <w:tblStyle w:val="16"/>
        <w:tblW w:w="8455" w:type="dxa"/>
        <w:tblInd w:w="24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45"/>
        <w:gridCol w:w="586"/>
        <w:gridCol w:w="1483"/>
        <w:gridCol w:w="616"/>
        <w:gridCol w:w="2401"/>
        <w:gridCol w:w="1165"/>
        <w:gridCol w:w="1059"/>
      </w:tblGrid>
      <w:tr w14:paraId="7571F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45" w:type="dxa"/>
            <w:shd w:val="clear" w:color="auto" w:fill="CFCECE"/>
            <w:vAlign w:val="center"/>
          </w:tcPr>
          <w:p w14:paraId="4A498605">
            <w:pPr>
              <w:pStyle w:val="18"/>
              <w:bidi w:val="0"/>
              <w:rPr>
                <w:rFonts w:hint="default" w:ascii="Times New Roman" w:hAnsi="Times New Roman" w:cs="Times New Roman"/>
                <w:highlight w:val="none"/>
              </w:rPr>
            </w:pPr>
            <w:r>
              <w:rPr>
                <w:rFonts w:hint="default" w:ascii="Times New Roman" w:hAnsi="Times New Roman" w:cs="Times New Roman"/>
                <w:highlight w:val="none"/>
              </w:rPr>
              <w:t>一级指标</w:t>
            </w:r>
          </w:p>
        </w:tc>
        <w:tc>
          <w:tcPr>
            <w:tcW w:w="586" w:type="dxa"/>
            <w:shd w:val="clear" w:color="auto" w:fill="CFCECE"/>
            <w:vAlign w:val="center"/>
          </w:tcPr>
          <w:p w14:paraId="524932B6">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1483" w:type="dxa"/>
            <w:shd w:val="clear" w:color="auto" w:fill="CFCECE"/>
            <w:vAlign w:val="center"/>
          </w:tcPr>
          <w:p w14:paraId="58A878E3">
            <w:pPr>
              <w:pStyle w:val="18"/>
              <w:bidi w:val="0"/>
              <w:rPr>
                <w:rFonts w:hint="default" w:ascii="Times New Roman" w:hAnsi="Times New Roman" w:cs="Times New Roman"/>
                <w:highlight w:val="none"/>
              </w:rPr>
            </w:pPr>
            <w:r>
              <w:rPr>
                <w:rFonts w:hint="default" w:ascii="Times New Roman" w:hAnsi="Times New Roman" w:cs="Times New Roman"/>
                <w:highlight w:val="none"/>
              </w:rPr>
              <w:t>二级指标</w:t>
            </w:r>
          </w:p>
        </w:tc>
        <w:tc>
          <w:tcPr>
            <w:tcW w:w="616" w:type="dxa"/>
            <w:shd w:val="clear" w:color="auto" w:fill="CFCECE"/>
            <w:vAlign w:val="center"/>
          </w:tcPr>
          <w:p w14:paraId="77A2E73A">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2401" w:type="dxa"/>
            <w:shd w:val="clear" w:color="auto" w:fill="CFCECE"/>
            <w:vAlign w:val="center"/>
          </w:tcPr>
          <w:p w14:paraId="1B185D73">
            <w:pPr>
              <w:pStyle w:val="18"/>
              <w:bidi w:val="0"/>
              <w:rPr>
                <w:rFonts w:hint="default" w:ascii="Times New Roman" w:hAnsi="Times New Roman" w:cs="Times New Roman"/>
                <w:highlight w:val="none"/>
              </w:rPr>
            </w:pPr>
            <w:r>
              <w:rPr>
                <w:rFonts w:hint="default" w:ascii="Times New Roman" w:hAnsi="Times New Roman" w:cs="Times New Roman"/>
                <w:highlight w:val="none"/>
              </w:rPr>
              <w:t>三级指标</w:t>
            </w:r>
          </w:p>
        </w:tc>
        <w:tc>
          <w:tcPr>
            <w:tcW w:w="1165" w:type="dxa"/>
            <w:shd w:val="clear" w:color="auto" w:fill="CFCECE"/>
            <w:vAlign w:val="center"/>
          </w:tcPr>
          <w:p w14:paraId="53AA8068">
            <w:pPr>
              <w:pStyle w:val="18"/>
              <w:bidi w:val="0"/>
              <w:rPr>
                <w:rFonts w:hint="default" w:ascii="Times New Roman" w:hAnsi="Times New Roman" w:cs="Times New Roman"/>
                <w:highlight w:val="none"/>
              </w:rPr>
            </w:pPr>
            <w:r>
              <w:rPr>
                <w:rFonts w:hint="default" w:ascii="Times New Roman" w:hAnsi="Times New Roman" w:cs="Times New Roman"/>
                <w:highlight w:val="none"/>
              </w:rPr>
              <w:t>分值</w:t>
            </w:r>
          </w:p>
        </w:tc>
        <w:tc>
          <w:tcPr>
            <w:tcW w:w="1059" w:type="dxa"/>
            <w:shd w:val="clear" w:color="auto" w:fill="CFCECE"/>
            <w:vAlign w:val="center"/>
          </w:tcPr>
          <w:p w14:paraId="094A1ACD">
            <w:pPr>
              <w:pStyle w:val="18"/>
              <w:bidi w:val="0"/>
              <w:rPr>
                <w:rFonts w:hint="default" w:ascii="Times New Roman" w:hAnsi="Times New Roman" w:cs="Times New Roman"/>
                <w:highlight w:val="none"/>
              </w:rPr>
            </w:pPr>
            <w:r>
              <w:rPr>
                <w:rFonts w:hint="default" w:ascii="Times New Roman" w:hAnsi="Times New Roman" w:cs="Times New Roman"/>
                <w:highlight w:val="none"/>
              </w:rPr>
              <w:t>得分</w:t>
            </w:r>
          </w:p>
        </w:tc>
      </w:tr>
      <w:tr w14:paraId="333FB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45" w:type="dxa"/>
            <w:vMerge w:val="restart"/>
            <w:tcBorders>
              <w:bottom w:val="nil"/>
            </w:tcBorders>
            <w:vAlign w:val="center"/>
          </w:tcPr>
          <w:p w14:paraId="4607E9B7">
            <w:pPr>
              <w:pStyle w:val="18"/>
              <w:bidi w:val="0"/>
              <w:rPr>
                <w:rFonts w:hint="default" w:ascii="Times New Roman" w:hAnsi="Times New Roman" w:cs="Times New Roman"/>
                <w:highlight w:val="none"/>
              </w:rPr>
            </w:pPr>
            <w:r>
              <w:rPr>
                <w:rFonts w:hint="default" w:ascii="Times New Roman" w:hAnsi="Times New Roman" w:cs="Times New Roman"/>
                <w:highlight w:val="none"/>
              </w:rPr>
              <w:t>项目管理</w:t>
            </w:r>
          </w:p>
        </w:tc>
        <w:tc>
          <w:tcPr>
            <w:tcW w:w="586" w:type="dxa"/>
            <w:vMerge w:val="restart"/>
            <w:tcBorders>
              <w:bottom w:val="nil"/>
            </w:tcBorders>
            <w:vAlign w:val="center"/>
          </w:tcPr>
          <w:p w14:paraId="1356098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483" w:type="dxa"/>
            <w:vMerge w:val="restart"/>
            <w:tcBorders>
              <w:bottom w:val="nil"/>
            </w:tcBorders>
            <w:vAlign w:val="center"/>
          </w:tcPr>
          <w:p w14:paraId="785B5C5E">
            <w:pPr>
              <w:pStyle w:val="18"/>
              <w:bidi w:val="0"/>
              <w:rPr>
                <w:rFonts w:hint="default" w:ascii="Times New Roman" w:hAnsi="Times New Roman" w:cs="Times New Roman"/>
                <w:highlight w:val="none"/>
              </w:rPr>
            </w:pPr>
            <w:r>
              <w:rPr>
                <w:rFonts w:hint="default" w:ascii="Times New Roman" w:hAnsi="Times New Roman" w:cs="Times New Roman"/>
                <w:highlight w:val="none"/>
              </w:rPr>
              <w:t>资金管理</w:t>
            </w:r>
          </w:p>
        </w:tc>
        <w:tc>
          <w:tcPr>
            <w:tcW w:w="616" w:type="dxa"/>
            <w:vMerge w:val="restart"/>
            <w:tcBorders>
              <w:bottom w:val="nil"/>
            </w:tcBorders>
            <w:vAlign w:val="center"/>
          </w:tcPr>
          <w:p w14:paraId="5020104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11</w:t>
            </w:r>
          </w:p>
        </w:tc>
        <w:tc>
          <w:tcPr>
            <w:tcW w:w="2401" w:type="dxa"/>
            <w:vAlign w:val="center"/>
          </w:tcPr>
          <w:p w14:paraId="1DAB4F49">
            <w:pPr>
              <w:pStyle w:val="18"/>
              <w:bidi w:val="0"/>
              <w:rPr>
                <w:rFonts w:hint="default" w:ascii="Times New Roman" w:hAnsi="Times New Roman" w:cs="Times New Roman"/>
                <w:highlight w:val="none"/>
              </w:rPr>
            </w:pPr>
            <w:r>
              <w:rPr>
                <w:rFonts w:hint="default" w:ascii="Times New Roman" w:hAnsi="Times New Roman" w:cs="Times New Roman"/>
                <w:highlight w:val="none"/>
              </w:rPr>
              <w:t>资金到位率</w:t>
            </w:r>
          </w:p>
        </w:tc>
        <w:tc>
          <w:tcPr>
            <w:tcW w:w="1165" w:type="dxa"/>
            <w:vAlign w:val="center"/>
          </w:tcPr>
          <w:p w14:paraId="337A672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0D4C5B07">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0AA93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45" w:type="dxa"/>
            <w:vMerge w:val="continue"/>
            <w:tcBorders>
              <w:top w:val="nil"/>
              <w:bottom w:val="nil"/>
            </w:tcBorders>
            <w:vAlign w:val="center"/>
          </w:tcPr>
          <w:p w14:paraId="5975B44F">
            <w:pPr>
              <w:pStyle w:val="18"/>
              <w:bidi w:val="0"/>
              <w:rPr>
                <w:rFonts w:hint="default" w:ascii="Times New Roman" w:hAnsi="Times New Roman" w:cs="Times New Roman"/>
                <w:highlight w:val="none"/>
              </w:rPr>
            </w:pPr>
          </w:p>
        </w:tc>
        <w:tc>
          <w:tcPr>
            <w:tcW w:w="586" w:type="dxa"/>
            <w:vMerge w:val="continue"/>
            <w:tcBorders>
              <w:top w:val="nil"/>
              <w:bottom w:val="nil"/>
            </w:tcBorders>
            <w:vAlign w:val="center"/>
          </w:tcPr>
          <w:p w14:paraId="4E7CCC2D">
            <w:pPr>
              <w:pStyle w:val="18"/>
              <w:bidi w:val="0"/>
              <w:rPr>
                <w:rFonts w:hint="default" w:ascii="Times New Roman" w:hAnsi="Times New Roman" w:cs="Times New Roman"/>
                <w:highlight w:val="none"/>
              </w:rPr>
            </w:pPr>
          </w:p>
        </w:tc>
        <w:tc>
          <w:tcPr>
            <w:tcW w:w="1483" w:type="dxa"/>
            <w:vMerge w:val="continue"/>
            <w:tcBorders>
              <w:top w:val="nil"/>
              <w:bottom w:val="nil"/>
            </w:tcBorders>
            <w:vAlign w:val="center"/>
          </w:tcPr>
          <w:p w14:paraId="6C14BD3E">
            <w:pPr>
              <w:pStyle w:val="18"/>
              <w:bidi w:val="0"/>
              <w:rPr>
                <w:rFonts w:hint="default" w:ascii="Times New Roman" w:hAnsi="Times New Roman" w:cs="Times New Roman"/>
                <w:highlight w:val="none"/>
              </w:rPr>
            </w:pPr>
          </w:p>
        </w:tc>
        <w:tc>
          <w:tcPr>
            <w:tcW w:w="616" w:type="dxa"/>
            <w:vMerge w:val="continue"/>
            <w:tcBorders>
              <w:top w:val="nil"/>
              <w:bottom w:val="nil"/>
            </w:tcBorders>
            <w:vAlign w:val="center"/>
          </w:tcPr>
          <w:p w14:paraId="20D1BE4A">
            <w:pPr>
              <w:pStyle w:val="18"/>
              <w:bidi w:val="0"/>
              <w:rPr>
                <w:rFonts w:hint="default" w:ascii="Times New Roman" w:hAnsi="Times New Roman" w:cs="Times New Roman"/>
                <w:highlight w:val="none"/>
              </w:rPr>
            </w:pPr>
          </w:p>
        </w:tc>
        <w:tc>
          <w:tcPr>
            <w:tcW w:w="2401" w:type="dxa"/>
            <w:vAlign w:val="center"/>
          </w:tcPr>
          <w:p w14:paraId="12905957">
            <w:pPr>
              <w:pStyle w:val="18"/>
              <w:bidi w:val="0"/>
              <w:rPr>
                <w:rFonts w:hint="default" w:ascii="Times New Roman" w:hAnsi="Times New Roman" w:cs="Times New Roman"/>
                <w:highlight w:val="none"/>
              </w:rPr>
            </w:pPr>
            <w:r>
              <w:rPr>
                <w:rFonts w:hint="default" w:ascii="Times New Roman" w:hAnsi="Times New Roman" w:cs="Times New Roman"/>
                <w:highlight w:val="none"/>
              </w:rPr>
              <w:t>预算执行率</w:t>
            </w:r>
          </w:p>
        </w:tc>
        <w:tc>
          <w:tcPr>
            <w:tcW w:w="1165" w:type="dxa"/>
            <w:vAlign w:val="center"/>
          </w:tcPr>
          <w:p w14:paraId="37758596">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3719733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5C698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45" w:type="dxa"/>
            <w:vMerge w:val="continue"/>
            <w:tcBorders>
              <w:top w:val="nil"/>
              <w:bottom w:val="nil"/>
            </w:tcBorders>
            <w:vAlign w:val="center"/>
          </w:tcPr>
          <w:p w14:paraId="16CFA7F1">
            <w:pPr>
              <w:pStyle w:val="18"/>
              <w:bidi w:val="0"/>
              <w:rPr>
                <w:rFonts w:hint="default" w:ascii="Times New Roman" w:hAnsi="Times New Roman" w:cs="Times New Roman"/>
                <w:highlight w:val="none"/>
              </w:rPr>
            </w:pPr>
          </w:p>
        </w:tc>
        <w:tc>
          <w:tcPr>
            <w:tcW w:w="586" w:type="dxa"/>
            <w:vMerge w:val="continue"/>
            <w:tcBorders>
              <w:top w:val="nil"/>
              <w:bottom w:val="nil"/>
            </w:tcBorders>
            <w:vAlign w:val="center"/>
          </w:tcPr>
          <w:p w14:paraId="4DA49CA8">
            <w:pPr>
              <w:pStyle w:val="18"/>
              <w:bidi w:val="0"/>
              <w:rPr>
                <w:rFonts w:hint="default" w:ascii="Times New Roman" w:hAnsi="Times New Roman" w:cs="Times New Roman"/>
                <w:highlight w:val="none"/>
              </w:rPr>
            </w:pPr>
          </w:p>
        </w:tc>
        <w:tc>
          <w:tcPr>
            <w:tcW w:w="1483" w:type="dxa"/>
            <w:vMerge w:val="continue"/>
            <w:tcBorders>
              <w:top w:val="nil"/>
              <w:bottom w:val="nil"/>
            </w:tcBorders>
            <w:vAlign w:val="center"/>
          </w:tcPr>
          <w:p w14:paraId="6CCA963C">
            <w:pPr>
              <w:pStyle w:val="18"/>
              <w:bidi w:val="0"/>
              <w:rPr>
                <w:rFonts w:hint="default" w:ascii="Times New Roman" w:hAnsi="Times New Roman" w:cs="Times New Roman"/>
                <w:highlight w:val="none"/>
              </w:rPr>
            </w:pPr>
          </w:p>
        </w:tc>
        <w:tc>
          <w:tcPr>
            <w:tcW w:w="616" w:type="dxa"/>
            <w:vMerge w:val="continue"/>
            <w:tcBorders>
              <w:top w:val="nil"/>
              <w:bottom w:val="nil"/>
            </w:tcBorders>
            <w:vAlign w:val="center"/>
          </w:tcPr>
          <w:p w14:paraId="77964716">
            <w:pPr>
              <w:pStyle w:val="18"/>
              <w:bidi w:val="0"/>
              <w:rPr>
                <w:rFonts w:hint="default" w:ascii="Times New Roman" w:hAnsi="Times New Roman" w:cs="Times New Roman"/>
                <w:highlight w:val="none"/>
              </w:rPr>
            </w:pPr>
          </w:p>
        </w:tc>
        <w:tc>
          <w:tcPr>
            <w:tcW w:w="2401" w:type="dxa"/>
            <w:vAlign w:val="center"/>
          </w:tcPr>
          <w:p w14:paraId="7103FF61">
            <w:pPr>
              <w:pStyle w:val="18"/>
              <w:bidi w:val="0"/>
              <w:rPr>
                <w:rFonts w:hint="default" w:ascii="Times New Roman" w:hAnsi="Times New Roman" w:cs="Times New Roman"/>
                <w:highlight w:val="none"/>
              </w:rPr>
            </w:pPr>
            <w:r>
              <w:rPr>
                <w:rFonts w:hint="default" w:ascii="Times New Roman" w:hAnsi="Times New Roman" w:cs="Times New Roman"/>
                <w:highlight w:val="none"/>
              </w:rPr>
              <w:t>资金使用合规性</w:t>
            </w:r>
          </w:p>
        </w:tc>
        <w:tc>
          <w:tcPr>
            <w:tcW w:w="1165" w:type="dxa"/>
            <w:vAlign w:val="center"/>
          </w:tcPr>
          <w:p w14:paraId="79A1EE0C">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10ABE6E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59932E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145" w:type="dxa"/>
            <w:vMerge w:val="continue"/>
            <w:tcBorders>
              <w:top w:val="nil"/>
              <w:bottom w:val="nil"/>
            </w:tcBorders>
            <w:vAlign w:val="center"/>
          </w:tcPr>
          <w:p w14:paraId="7ED46565">
            <w:pPr>
              <w:pStyle w:val="18"/>
              <w:bidi w:val="0"/>
              <w:rPr>
                <w:rFonts w:hint="default" w:ascii="Times New Roman" w:hAnsi="Times New Roman" w:cs="Times New Roman"/>
                <w:highlight w:val="none"/>
              </w:rPr>
            </w:pPr>
          </w:p>
        </w:tc>
        <w:tc>
          <w:tcPr>
            <w:tcW w:w="586" w:type="dxa"/>
            <w:vMerge w:val="continue"/>
            <w:tcBorders>
              <w:top w:val="nil"/>
              <w:bottom w:val="nil"/>
            </w:tcBorders>
            <w:vAlign w:val="center"/>
          </w:tcPr>
          <w:p w14:paraId="268C8A30">
            <w:pPr>
              <w:pStyle w:val="18"/>
              <w:bidi w:val="0"/>
              <w:rPr>
                <w:rFonts w:hint="default" w:ascii="Times New Roman" w:hAnsi="Times New Roman" w:cs="Times New Roman"/>
                <w:highlight w:val="none"/>
              </w:rPr>
            </w:pPr>
          </w:p>
        </w:tc>
        <w:tc>
          <w:tcPr>
            <w:tcW w:w="1483" w:type="dxa"/>
            <w:vMerge w:val="continue"/>
            <w:tcBorders>
              <w:top w:val="nil"/>
            </w:tcBorders>
            <w:vAlign w:val="center"/>
          </w:tcPr>
          <w:p w14:paraId="54050A99">
            <w:pPr>
              <w:pStyle w:val="18"/>
              <w:bidi w:val="0"/>
              <w:rPr>
                <w:rFonts w:hint="default" w:ascii="Times New Roman" w:hAnsi="Times New Roman" w:cs="Times New Roman"/>
                <w:highlight w:val="none"/>
              </w:rPr>
            </w:pPr>
          </w:p>
        </w:tc>
        <w:tc>
          <w:tcPr>
            <w:tcW w:w="616" w:type="dxa"/>
            <w:vMerge w:val="continue"/>
            <w:tcBorders>
              <w:top w:val="nil"/>
            </w:tcBorders>
            <w:vAlign w:val="center"/>
          </w:tcPr>
          <w:p w14:paraId="2CBB1A67">
            <w:pPr>
              <w:pStyle w:val="18"/>
              <w:bidi w:val="0"/>
              <w:rPr>
                <w:rFonts w:hint="default" w:ascii="Times New Roman" w:hAnsi="Times New Roman" w:cs="Times New Roman"/>
                <w:highlight w:val="none"/>
              </w:rPr>
            </w:pPr>
          </w:p>
        </w:tc>
        <w:tc>
          <w:tcPr>
            <w:tcW w:w="2401" w:type="dxa"/>
            <w:vAlign w:val="center"/>
          </w:tcPr>
          <w:p w14:paraId="13FF0541">
            <w:pPr>
              <w:pStyle w:val="18"/>
              <w:bidi w:val="0"/>
              <w:rPr>
                <w:rFonts w:hint="default" w:ascii="Times New Roman" w:hAnsi="Times New Roman" w:cs="Times New Roman"/>
                <w:highlight w:val="none"/>
              </w:rPr>
            </w:pPr>
            <w:r>
              <w:rPr>
                <w:rFonts w:hint="default" w:ascii="Times New Roman" w:hAnsi="Times New Roman" w:cs="Times New Roman"/>
                <w:highlight w:val="none"/>
              </w:rPr>
              <w:t>管理制度健全性</w:t>
            </w:r>
          </w:p>
        </w:tc>
        <w:tc>
          <w:tcPr>
            <w:tcW w:w="1165" w:type="dxa"/>
            <w:vAlign w:val="center"/>
          </w:tcPr>
          <w:p w14:paraId="74BC2D5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p>
        </w:tc>
        <w:tc>
          <w:tcPr>
            <w:tcW w:w="1059" w:type="dxa"/>
            <w:vAlign w:val="center"/>
          </w:tcPr>
          <w:p w14:paraId="788087F5">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w:t>
            </w:r>
          </w:p>
        </w:tc>
      </w:tr>
      <w:tr w14:paraId="442FA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45" w:type="dxa"/>
            <w:vMerge w:val="continue"/>
            <w:tcBorders>
              <w:top w:val="nil"/>
              <w:bottom w:val="nil"/>
            </w:tcBorders>
            <w:vAlign w:val="center"/>
          </w:tcPr>
          <w:p w14:paraId="400BABF7">
            <w:pPr>
              <w:pStyle w:val="18"/>
              <w:bidi w:val="0"/>
              <w:rPr>
                <w:rFonts w:hint="default" w:ascii="Times New Roman" w:hAnsi="Times New Roman" w:cs="Times New Roman"/>
                <w:highlight w:val="none"/>
              </w:rPr>
            </w:pPr>
          </w:p>
        </w:tc>
        <w:tc>
          <w:tcPr>
            <w:tcW w:w="586" w:type="dxa"/>
            <w:vMerge w:val="continue"/>
            <w:tcBorders>
              <w:top w:val="nil"/>
              <w:bottom w:val="nil"/>
            </w:tcBorders>
            <w:vAlign w:val="center"/>
          </w:tcPr>
          <w:p w14:paraId="23842791">
            <w:pPr>
              <w:pStyle w:val="18"/>
              <w:bidi w:val="0"/>
              <w:rPr>
                <w:rFonts w:hint="default" w:ascii="Times New Roman" w:hAnsi="Times New Roman" w:cs="Times New Roman"/>
                <w:highlight w:val="none"/>
              </w:rPr>
            </w:pPr>
          </w:p>
        </w:tc>
        <w:tc>
          <w:tcPr>
            <w:tcW w:w="1483" w:type="dxa"/>
            <w:vMerge w:val="restart"/>
            <w:tcBorders>
              <w:bottom w:val="nil"/>
            </w:tcBorders>
            <w:vAlign w:val="center"/>
          </w:tcPr>
          <w:p w14:paraId="6ABB8207">
            <w:pPr>
              <w:pStyle w:val="18"/>
              <w:bidi w:val="0"/>
              <w:rPr>
                <w:rFonts w:hint="default" w:ascii="Times New Roman" w:hAnsi="Times New Roman" w:cs="Times New Roman"/>
                <w:highlight w:val="none"/>
              </w:rPr>
            </w:pPr>
            <w:r>
              <w:rPr>
                <w:rFonts w:hint="default" w:ascii="Times New Roman" w:hAnsi="Times New Roman" w:cs="Times New Roman"/>
                <w:highlight w:val="none"/>
              </w:rPr>
              <w:t>组织实施</w:t>
            </w:r>
          </w:p>
        </w:tc>
        <w:tc>
          <w:tcPr>
            <w:tcW w:w="616" w:type="dxa"/>
            <w:vMerge w:val="restart"/>
            <w:tcBorders>
              <w:bottom w:val="nil"/>
            </w:tcBorders>
            <w:vAlign w:val="center"/>
          </w:tcPr>
          <w:p w14:paraId="76AC7E4E">
            <w:pPr>
              <w:pStyle w:val="18"/>
              <w:bidi w:val="0"/>
              <w:rPr>
                <w:rFonts w:hint="default" w:ascii="Times New Roman" w:hAnsi="Times New Roman" w:cs="Times New Roman"/>
                <w:highlight w:val="none"/>
                <w:lang w:eastAsia="zh-CN"/>
              </w:rPr>
            </w:pPr>
            <w:r>
              <w:rPr>
                <w:rFonts w:hint="default" w:ascii="Times New Roman" w:hAnsi="Times New Roman" w:cs="Times New Roman"/>
                <w:highlight w:val="none"/>
                <w:lang w:val="en-US" w:eastAsia="zh-CN"/>
              </w:rPr>
              <w:t>9</w:t>
            </w:r>
          </w:p>
        </w:tc>
        <w:tc>
          <w:tcPr>
            <w:tcW w:w="2401" w:type="dxa"/>
            <w:vAlign w:val="center"/>
          </w:tcPr>
          <w:p w14:paraId="0D99A39A">
            <w:pPr>
              <w:pStyle w:val="18"/>
              <w:bidi w:val="0"/>
              <w:rPr>
                <w:rFonts w:hint="default" w:ascii="Times New Roman" w:hAnsi="Times New Roman" w:cs="Times New Roman"/>
                <w:highlight w:val="none"/>
              </w:rPr>
            </w:pPr>
            <w:r>
              <w:rPr>
                <w:rFonts w:hint="default" w:ascii="Times New Roman" w:hAnsi="Times New Roman" w:cs="Times New Roman"/>
                <w:highlight w:val="none"/>
              </w:rPr>
              <w:t>制度执行有效性</w:t>
            </w:r>
          </w:p>
        </w:tc>
        <w:tc>
          <w:tcPr>
            <w:tcW w:w="1165" w:type="dxa"/>
            <w:vAlign w:val="center"/>
          </w:tcPr>
          <w:p w14:paraId="42A2E679">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5A6A75F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430073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45" w:type="dxa"/>
            <w:vMerge w:val="continue"/>
            <w:tcBorders>
              <w:top w:val="nil"/>
              <w:bottom w:val="nil"/>
            </w:tcBorders>
            <w:vAlign w:val="center"/>
          </w:tcPr>
          <w:p w14:paraId="40E38B8E">
            <w:pPr>
              <w:pStyle w:val="18"/>
              <w:bidi w:val="0"/>
              <w:rPr>
                <w:rFonts w:hint="default" w:ascii="Times New Roman" w:hAnsi="Times New Roman" w:cs="Times New Roman"/>
                <w:highlight w:val="none"/>
              </w:rPr>
            </w:pPr>
          </w:p>
        </w:tc>
        <w:tc>
          <w:tcPr>
            <w:tcW w:w="586" w:type="dxa"/>
            <w:vMerge w:val="continue"/>
            <w:tcBorders>
              <w:top w:val="nil"/>
              <w:bottom w:val="nil"/>
            </w:tcBorders>
            <w:vAlign w:val="center"/>
          </w:tcPr>
          <w:p w14:paraId="6FDF4C24">
            <w:pPr>
              <w:pStyle w:val="18"/>
              <w:bidi w:val="0"/>
              <w:rPr>
                <w:rFonts w:hint="default" w:ascii="Times New Roman" w:hAnsi="Times New Roman" w:cs="Times New Roman"/>
                <w:highlight w:val="none"/>
              </w:rPr>
            </w:pPr>
          </w:p>
        </w:tc>
        <w:tc>
          <w:tcPr>
            <w:tcW w:w="1483" w:type="dxa"/>
            <w:vMerge w:val="continue"/>
            <w:tcBorders>
              <w:top w:val="nil"/>
              <w:bottom w:val="nil"/>
            </w:tcBorders>
            <w:vAlign w:val="center"/>
          </w:tcPr>
          <w:p w14:paraId="1202FE3B">
            <w:pPr>
              <w:pStyle w:val="18"/>
              <w:bidi w:val="0"/>
              <w:rPr>
                <w:rFonts w:hint="default" w:ascii="Times New Roman" w:hAnsi="Times New Roman" w:cs="Times New Roman"/>
                <w:highlight w:val="none"/>
              </w:rPr>
            </w:pPr>
          </w:p>
        </w:tc>
        <w:tc>
          <w:tcPr>
            <w:tcW w:w="616" w:type="dxa"/>
            <w:vMerge w:val="continue"/>
            <w:tcBorders>
              <w:top w:val="nil"/>
              <w:bottom w:val="nil"/>
            </w:tcBorders>
            <w:vAlign w:val="center"/>
          </w:tcPr>
          <w:p w14:paraId="03F32125">
            <w:pPr>
              <w:pStyle w:val="18"/>
              <w:bidi w:val="0"/>
              <w:rPr>
                <w:rFonts w:hint="default" w:ascii="Times New Roman" w:hAnsi="Times New Roman" w:cs="Times New Roman"/>
                <w:highlight w:val="none"/>
              </w:rPr>
            </w:pPr>
          </w:p>
        </w:tc>
        <w:tc>
          <w:tcPr>
            <w:tcW w:w="2401" w:type="dxa"/>
            <w:vAlign w:val="center"/>
          </w:tcPr>
          <w:p w14:paraId="1152226B">
            <w:pPr>
              <w:pStyle w:val="18"/>
              <w:bidi w:val="0"/>
              <w:rPr>
                <w:rFonts w:hint="default" w:ascii="Times New Roman" w:hAnsi="Times New Roman" w:cs="Times New Roman"/>
                <w:highlight w:val="none"/>
              </w:rPr>
            </w:pPr>
            <w:r>
              <w:rPr>
                <w:rFonts w:hint="default" w:ascii="Times New Roman" w:hAnsi="Times New Roman" w:cs="Times New Roman"/>
                <w:highlight w:val="none"/>
              </w:rPr>
              <w:t>项目质量可控性</w:t>
            </w:r>
          </w:p>
        </w:tc>
        <w:tc>
          <w:tcPr>
            <w:tcW w:w="1165" w:type="dxa"/>
            <w:vAlign w:val="center"/>
          </w:tcPr>
          <w:p w14:paraId="5F2A2CC4">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035D804E">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08B55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45" w:type="dxa"/>
            <w:vMerge w:val="continue"/>
            <w:tcBorders>
              <w:top w:val="nil"/>
            </w:tcBorders>
            <w:vAlign w:val="center"/>
          </w:tcPr>
          <w:p w14:paraId="13A125EB">
            <w:pPr>
              <w:pStyle w:val="18"/>
              <w:bidi w:val="0"/>
              <w:rPr>
                <w:rFonts w:hint="default" w:ascii="Times New Roman" w:hAnsi="Times New Roman" w:cs="Times New Roman"/>
                <w:highlight w:val="none"/>
              </w:rPr>
            </w:pPr>
          </w:p>
        </w:tc>
        <w:tc>
          <w:tcPr>
            <w:tcW w:w="586" w:type="dxa"/>
            <w:vMerge w:val="continue"/>
            <w:tcBorders>
              <w:top w:val="nil"/>
            </w:tcBorders>
            <w:vAlign w:val="center"/>
          </w:tcPr>
          <w:p w14:paraId="643CD11C">
            <w:pPr>
              <w:pStyle w:val="18"/>
              <w:bidi w:val="0"/>
              <w:rPr>
                <w:rFonts w:hint="default" w:ascii="Times New Roman" w:hAnsi="Times New Roman" w:cs="Times New Roman"/>
                <w:highlight w:val="none"/>
              </w:rPr>
            </w:pPr>
          </w:p>
        </w:tc>
        <w:tc>
          <w:tcPr>
            <w:tcW w:w="1483" w:type="dxa"/>
            <w:vMerge w:val="continue"/>
            <w:tcBorders>
              <w:top w:val="nil"/>
            </w:tcBorders>
            <w:vAlign w:val="center"/>
          </w:tcPr>
          <w:p w14:paraId="7C2D6632">
            <w:pPr>
              <w:pStyle w:val="18"/>
              <w:bidi w:val="0"/>
              <w:rPr>
                <w:rFonts w:hint="default" w:ascii="Times New Roman" w:hAnsi="Times New Roman" w:cs="Times New Roman"/>
                <w:highlight w:val="none"/>
              </w:rPr>
            </w:pPr>
          </w:p>
        </w:tc>
        <w:tc>
          <w:tcPr>
            <w:tcW w:w="616" w:type="dxa"/>
            <w:vMerge w:val="continue"/>
            <w:tcBorders>
              <w:top w:val="nil"/>
            </w:tcBorders>
            <w:vAlign w:val="center"/>
          </w:tcPr>
          <w:p w14:paraId="5FC96BFA">
            <w:pPr>
              <w:pStyle w:val="18"/>
              <w:bidi w:val="0"/>
              <w:rPr>
                <w:rFonts w:hint="default" w:ascii="Times New Roman" w:hAnsi="Times New Roman" w:cs="Times New Roman"/>
                <w:highlight w:val="none"/>
              </w:rPr>
            </w:pPr>
          </w:p>
        </w:tc>
        <w:tc>
          <w:tcPr>
            <w:tcW w:w="2401" w:type="dxa"/>
            <w:vAlign w:val="center"/>
          </w:tcPr>
          <w:p w14:paraId="5B4ED31E">
            <w:pPr>
              <w:pStyle w:val="18"/>
              <w:bidi w:val="0"/>
              <w:rPr>
                <w:rFonts w:hint="default" w:ascii="Times New Roman" w:hAnsi="Times New Roman" w:cs="Times New Roman"/>
                <w:highlight w:val="none"/>
              </w:rPr>
            </w:pPr>
            <w:r>
              <w:rPr>
                <w:rFonts w:hint="default" w:ascii="Times New Roman" w:hAnsi="Times New Roman" w:cs="Times New Roman"/>
                <w:highlight w:val="none"/>
              </w:rPr>
              <w:t>自评及整改</w:t>
            </w:r>
          </w:p>
        </w:tc>
        <w:tc>
          <w:tcPr>
            <w:tcW w:w="1165" w:type="dxa"/>
            <w:vAlign w:val="center"/>
          </w:tcPr>
          <w:p w14:paraId="4216993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c>
          <w:tcPr>
            <w:tcW w:w="1059" w:type="dxa"/>
            <w:vAlign w:val="center"/>
          </w:tcPr>
          <w:p w14:paraId="30E25BD6">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3</w:t>
            </w:r>
          </w:p>
        </w:tc>
      </w:tr>
      <w:tr w14:paraId="7A746A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3214" w:type="dxa"/>
            <w:gridSpan w:val="3"/>
            <w:vAlign w:val="center"/>
          </w:tcPr>
          <w:p w14:paraId="27EA9420">
            <w:pPr>
              <w:pStyle w:val="18"/>
              <w:bidi w:val="0"/>
              <w:rPr>
                <w:rFonts w:hint="default" w:ascii="Times New Roman" w:hAnsi="Times New Roman" w:cs="Times New Roman"/>
                <w:highlight w:val="none"/>
              </w:rPr>
            </w:pPr>
            <w:r>
              <w:rPr>
                <w:rFonts w:hint="default" w:ascii="Times New Roman" w:hAnsi="Times New Roman" w:cs="Times New Roman"/>
                <w:highlight w:val="none"/>
              </w:rPr>
              <w:t>合计</w:t>
            </w:r>
          </w:p>
        </w:tc>
        <w:tc>
          <w:tcPr>
            <w:tcW w:w="616" w:type="dxa"/>
            <w:vAlign w:val="center"/>
          </w:tcPr>
          <w:p w14:paraId="1383729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2401" w:type="dxa"/>
            <w:vAlign w:val="center"/>
          </w:tcPr>
          <w:p w14:paraId="35D362C9">
            <w:pPr>
              <w:pStyle w:val="18"/>
              <w:bidi w:val="0"/>
              <w:rPr>
                <w:rFonts w:hint="default" w:ascii="Times New Roman" w:hAnsi="Times New Roman" w:cs="Times New Roman"/>
                <w:highlight w:val="none"/>
              </w:rPr>
            </w:pPr>
          </w:p>
        </w:tc>
        <w:tc>
          <w:tcPr>
            <w:tcW w:w="1165" w:type="dxa"/>
            <w:vAlign w:val="center"/>
          </w:tcPr>
          <w:p w14:paraId="4154D97A">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c>
          <w:tcPr>
            <w:tcW w:w="1059" w:type="dxa"/>
            <w:vAlign w:val="center"/>
          </w:tcPr>
          <w:p w14:paraId="518D60D5">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w:t>
            </w:r>
          </w:p>
        </w:tc>
      </w:tr>
    </w:tbl>
    <w:p w14:paraId="3BE3B323">
      <w:pPr>
        <w:keepNext w:val="0"/>
        <w:keepLines w:val="0"/>
        <w:pageBreakBefore w:val="0"/>
        <w:numPr>
          <w:ilvl w:val="0"/>
          <w:numId w:val="0"/>
        </w:numPr>
        <w:wordWrap/>
        <w:overflowPunct/>
        <w:bidi w:val="0"/>
        <w:jc w:val="both"/>
        <w:rPr>
          <w:rFonts w:hint="default" w:ascii="Times New Roman" w:hAnsi="Times New Roman" w:eastAsia="仿宋_GB2312" w:cs="Times New Roman"/>
          <w:spacing w:val="8"/>
          <w:sz w:val="24"/>
          <w:szCs w:val="24"/>
          <w:highlight w:val="none"/>
          <w:lang w:val="en-US" w:eastAsia="zh-CN"/>
        </w:rPr>
      </w:pPr>
    </w:p>
    <w:p w14:paraId="68F14BF7">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对于“资金到位率”：</w:t>
      </w:r>
      <w:r>
        <w:rPr>
          <w:rFonts w:hint="default" w:ascii="Times New Roman" w:hAnsi="Times New Roman" w:cs="Times New Roman"/>
          <w:highlight w:val="none"/>
          <w:lang w:val="en-US" w:eastAsia="zh-CN"/>
        </w:rPr>
        <w:t>依据项目资料查证分析，项目2024年申请资金214.59万元，实际到位214.59万元，资金到位率为100%。综上所述，该指标满分3分，得分3分。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对于“预算执行率”：</w:t>
      </w:r>
      <w:r>
        <w:rPr>
          <w:rFonts w:hint="default" w:ascii="Times New Roman" w:hAnsi="Times New Roman" w:cs="Times New Roman"/>
          <w:highlight w:val="none"/>
          <w:lang w:val="en-US" w:eastAsia="zh-CN"/>
        </w:rPr>
        <w:t>项目2024年实际到位资金214.59万元，截至2024年12月31日，支出214.59万元，预算执行率100%。综上所述，该指标满分3分，得分3分。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对于“资金使用合规性”：</w:t>
      </w:r>
      <w:r>
        <w:rPr>
          <w:rFonts w:hint="default" w:ascii="Times New Roman" w:hAnsi="Times New Roman" w:cs="Times New Roman"/>
          <w:highlight w:val="none"/>
          <w:lang w:val="en-US" w:eastAsia="zh-CN"/>
        </w:rPr>
        <w:t>经核查，项目资金支付符合财经法规和专项资金管理办法；资金的拨付有完整的审批程序和手续；资金支持方向符合项目预算批复的用途；不存在截留、挤占、挪用、虚列支出等情况。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对于“管理制度健全性”：</w:t>
      </w:r>
      <w:r>
        <w:rPr>
          <w:rFonts w:hint="default" w:ascii="Times New Roman" w:hAnsi="Times New Roman" w:cs="Times New Roman"/>
          <w:highlight w:val="none"/>
          <w:lang w:val="en-US" w:eastAsia="zh-CN"/>
        </w:rPr>
        <w:t>经核查，克拉玛依区昆仑路街道办事处已制定相应的财务和业务管理制度；财务和业务管理制度合法、合规、完整。综上所述，该指标满分2分，得分2分。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对于“制度执行有效性”：</w:t>
      </w:r>
      <w:r>
        <w:rPr>
          <w:rFonts w:hint="default" w:ascii="Times New Roman" w:hAnsi="Times New Roman" w:cs="Times New Roman"/>
          <w:highlight w:val="none"/>
          <w:lang w:val="en-US" w:eastAsia="zh-CN"/>
        </w:rPr>
        <w:t>经核查，①项目遵守《关于印发〈克拉玛依市国有企业退休人员社会化管理服务暂行办法〉的通知》《关于做好新疆维吾尔自治区国有企业退休人员社会化管理补助资金管理的通知》等法律法规和管理规定；②项目未发生调整情况；③目前仅有项目预算申请书，暂无上级批复文件；④项目活动实施的人员条件、场地设备等均落实到位。综上所述，</w:t>
      </w:r>
      <w:bookmarkStart w:id="242" w:name="OLE_LINK1"/>
      <w:r>
        <w:rPr>
          <w:rFonts w:hint="default" w:ascii="Times New Roman" w:hAnsi="Times New Roman" w:cs="Times New Roman"/>
          <w:highlight w:val="none"/>
          <w:lang w:val="en-US" w:eastAsia="zh-CN"/>
        </w:rPr>
        <w:t>该指标满分3分，得分3分</w:t>
      </w:r>
      <w:bookmarkEnd w:id="242"/>
      <w:r>
        <w:rPr>
          <w:rFonts w:hint="default" w:ascii="Times New Roman" w:hAnsi="Times New Roman" w:cs="Times New Roman"/>
          <w:highlight w:val="none"/>
          <w:lang w:val="en-US" w:eastAsia="zh-CN"/>
        </w:rPr>
        <w:t>。</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对于“项目质量可控性”：经核查，质控措施落实，责任主体明确，项目活动相关合同明确质量要求，相关方均按要求履约。综上所述，该指标满分3分，得分3分。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对于“自评及整改”：</w:t>
      </w:r>
      <w:r>
        <w:rPr>
          <w:rFonts w:hint="default" w:ascii="Times New Roman" w:hAnsi="Times New Roman" w:cs="Times New Roman"/>
          <w:highlight w:val="none"/>
          <w:lang w:val="en-US" w:eastAsia="zh-CN"/>
        </w:rPr>
        <w:t>经核查，克拉玛依区昆仑路街道办已按照预算绩效管理要求按时完成项目自评工作，但是存在以下问题：项目绩效完成情况与实际不相符，例如自评指标“支持保安保洁费用”完成值填写100%，实际费用未完全支付。综上所述，该指标满分3分，该指标满分3分，得分3分。</w:t>
      </w:r>
    </w:p>
    <w:p w14:paraId="01661C72">
      <w:pPr>
        <w:pStyle w:val="4"/>
        <w:bidi w:val="0"/>
        <w:outlineLvl w:val="1"/>
        <w:rPr>
          <w:rFonts w:hint="default" w:ascii="Times New Roman" w:hAnsi="Times New Roman" w:cs="Times New Roman"/>
          <w:highlight w:val="none"/>
          <w:lang w:val="en-US" w:eastAsia="zh-CN"/>
        </w:rPr>
      </w:pPr>
      <w:bookmarkStart w:id="243" w:name="_Toc28561"/>
      <w:bookmarkStart w:id="244" w:name="_Toc30223"/>
      <w:bookmarkStart w:id="245" w:name="_Toc11060"/>
      <w:bookmarkStart w:id="246" w:name="_Toc30289"/>
      <w:r>
        <w:rPr>
          <w:rFonts w:hint="default" w:ascii="Times New Roman" w:hAnsi="Times New Roman" w:cs="Times New Roman"/>
          <w:highlight w:val="none"/>
          <w:lang w:val="en-US" w:eastAsia="zh-CN"/>
        </w:rPr>
        <w:t>（三）产出情况分析</w:t>
      </w:r>
      <w:bookmarkEnd w:id="243"/>
      <w:bookmarkEnd w:id="244"/>
      <w:bookmarkEnd w:id="245"/>
      <w:bookmarkEnd w:id="246"/>
    </w:p>
    <w:p w14:paraId="0F9F9323">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项目产出类指标是从数量指标、质量指标、时效指标、成本指标和社会效益指标五个方面来对项目实施进行考察，项目产出类指标分值40分，实际得分40分。指标情况如表所示。</w:t>
      </w:r>
    </w:p>
    <w:p w14:paraId="75A3E415">
      <w:pPr>
        <w:keepNext w:val="0"/>
        <w:keepLines w:val="0"/>
        <w:pageBreakBefore w:val="0"/>
        <w:widowControl/>
        <w:kinsoku/>
        <w:wordWrap/>
        <w:overflowPunct/>
        <w:topLinePunct w:val="0"/>
        <w:autoSpaceDE/>
        <w:autoSpaceDN/>
        <w:bidi w:val="0"/>
        <w:adjustRightInd w:val="0"/>
        <w:snapToGrid w:val="0"/>
        <w:ind w:firstLine="0" w:firstLineChars="0"/>
        <w:jc w:val="center"/>
        <w:textAlignment w:val="baseline"/>
        <w:rPr>
          <w:rFonts w:hint="default" w:ascii="Times New Roman" w:hAnsi="Times New Roman" w:cs="Times New Roman"/>
          <w:highlight w:val="none"/>
          <w:lang w:val="en-US" w:eastAsia="zh-CN"/>
        </w:rPr>
      </w:pPr>
      <w:r>
        <w:rPr>
          <w:rFonts w:hint="default" w:ascii="Times New Roman" w:hAnsi="Times New Roman" w:cs="Times New Roman"/>
          <w:b/>
          <w:bCs/>
          <w:sz w:val="24"/>
          <w:szCs w:val="24"/>
          <w:highlight w:val="none"/>
          <w:lang w:val="en-US" w:eastAsia="zh-CN"/>
        </w:rPr>
        <w:t>表4-3 项目产出得分情况表</w:t>
      </w:r>
    </w:p>
    <w:tbl>
      <w:tblPr>
        <w:tblStyle w:val="13"/>
        <w:tblW w:w="8238"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0"/>
        <w:gridCol w:w="1243"/>
        <w:gridCol w:w="3378"/>
        <w:gridCol w:w="1222"/>
        <w:gridCol w:w="1125"/>
      </w:tblGrid>
      <w:tr w14:paraId="782D9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6" w:hRule="atLeast"/>
        </w:trPr>
        <w:tc>
          <w:tcPr>
            <w:tcW w:w="127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0140F5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一级指标</w:t>
            </w:r>
          </w:p>
        </w:tc>
        <w:tc>
          <w:tcPr>
            <w:tcW w:w="12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4D9A0F8C">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二级指标</w:t>
            </w:r>
          </w:p>
        </w:tc>
        <w:tc>
          <w:tcPr>
            <w:tcW w:w="33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8C58862">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三级指标</w:t>
            </w:r>
          </w:p>
        </w:tc>
        <w:tc>
          <w:tcPr>
            <w:tcW w:w="122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647EA31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分值</w:t>
            </w:r>
          </w:p>
        </w:tc>
        <w:tc>
          <w:tcPr>
            <w:tcW w:w="1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7DF6737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得分</w:t>
            </w:r>
          </w:p>
        </w:tc>
      </w:tr>
      <w:tr w14:paraId="5905B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270" w:type="dxa"/>
            <w:vMerge w:val="restart"/>
            <w:tcBorders>
              <w:top w:val="single" w:color="000000" w:sz="4" w:space="0"/>
              <w:left w:val="single" w:color="000000" w:sz="4" w:space="0"/>
              <w:right w:val="single" w:color="000000" w:sz="4" w:space="0"/>
            </w:tcBorders>
            <w:shd w:val="clear" w:color="auto" w:fill="auto"/>
            <w:vAlign w:val="center"/>
          </w:tcPr>
          <w:p w14:paraId="41F28D75">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项目产出</w:t>
            </w:r>
          </w:p>
        </w:tc>
        <w:tc>
          <w:tcPr>
            <w:tcW w:w="12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EC16CF">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数量指标</w:t>
            </w: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CEF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覆盖退休站数量</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075E">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18D4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r>
      <w:tr w14:paraId="79A79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270" w:type="dxa"/>
            <w:vMerge w:val="continue"/>
            <w:tcBorders>
              <w:left w:val="single" w:color="000000" w:sz="4" w:space="0"/>
              <w:right w:val="single" w:color="000000" w:sz="4" w:space="0"/>
            </w:tcBorders>
            <w:shd w:val="clear" w:color="auto" w:fill="auto"/>
            <w:vAlign w:val="center"/>
          </w:tcPr>
          <w:p w14:paraId="35E7853B">
            <w:pPr>
              <w:pStyle w:val="18"/>
              <w:bidi w:val="0"/>
              <w:rPr>
                <w:rFonts w:hint="default" w:ascii="Times New Roman" w:hAnsi="Times New Roman" w:cs="Times New Roman"/>
                <w:highlight w:val="none"/>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83362D">
            <w:pPr>
              <w:pStyle w:val="18"/>
              <w:bidi w:val="0"/>
              <w:rPr>
                <w:rFonts w:hint="default" w:ascii="Times New Roman" w:hAnsi="Times New Roman" w:cs="Times New Roman"/>
                <w:highlight w:val="none"/>
              </w:rPr>
            </w:pP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BAE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覆盖企业退休人员</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147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4637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r>
      <w:tr w14:paraId="46A1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270" w:type="dxa"/>
            <w:vMerge w:val="continue"/>
            <w:tcBorders>
              <w:left w:val="single" w:color="000000" w:sz="4" w:space="0"/>
              <w:right w:val="single" w:color="000000" w:sz="4" w:space="0"/>
            </w:tcBorders>
            <w:shd w:val="clear" w:color="auto" w:fill="auto"/>
            <w:vAlign w:val="center"/>
          </w:tcPr>
          <w:p w14:paraId="036AAEF4">
            <w:pPr>
              <w:pStyle w:val="18"/>
              <w:bidi w:val="0"/>
              <w:rPr>
                <w:rFonts w:hint="default" w:ascii="Times New Roman" w:hAnsi="Times New Roman" w:cs="Times New Roman"/>
                <w:highlight w:val="none"/>
              </w:rPr>
            </w:pPr>
          </w:p>
        </w:tc>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86095C">
            <w:pPr>
              <w:pStyle w:val="18"/>
              <w:bidi w:val="0"/>
              <w:rPr>
                <w:rFonts w:hint="default" w:ascii="Times New Roman" w:hAnsi="Times New Roman" w:cs="Times New Roman"/>
                <w:highlight w:val="none"/>
              </w:rPr>
            </w:pP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B4F67">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支持保安保洁人员工资次数</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77C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685F">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r>
      <w:tr w14:paraId="0A0AC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270" w:type="dxa"/>
            <w:vMerge w:val="continue"/>
            <w:tcBorders>
              <w:left w:val="single" w:color="000000" w:sz="4" w:space="0"/>
              <w:right w:val="single" w:color="000000" w:sz="4" w:space="0"/>
            </w:tcBorders>
            <w:shd w:val="clear" w:color="auto" w:fill="auto"/>
            <w:vAlign w:val="center"/>
          </w:tcPr>
          <w:p w14:paraId="03F5D786">
            <w:pPr>
              <w:pStyle w:val="18"/>
              <w:bidi w:val="0"/>
              <w:rPr>
                <w:rFonts w:hint="default" w:ascii="Times New Roman" w:hAnsi="Times New Roman" w:cs="Times New Roman"/>
                <w:highlight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BEDB9">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质量指标</w:t>
            </w: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5F3E">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保障老年活动中心正常运转率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1594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E0E0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r>
      <w:tr w14:paraId="4FE71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270" w:type="dxa"/>
            <w:vMerge w:val="continue"/>
            <w:tcBorders>
              <w:left w:val="single" w:color="000000" w:sz="4" w:space="0"/>
              <w:right w:val="single" w:color="000000" w:sz="4" w:space="0"/>
            </w:tcBorders>
            <w:shd w:val="clear" w:color="auto" w:fill="auto"/>
            <w:vAlign w:val="center"/>
          </w:tcPr>
          <w:p w14:paraId="4EFA7412">
            <w:pPr>
              <w:pStyle w:val="18"/>
              <w:bidi w:val="0"/>
              <w:rPr>
                <w:rFonts w:hint="default" w:ascii="Times New Roman" w:hAnsi="Times New Roman" w:cs="Times New Roman"/>
                <w:highlight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6EEF">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时效指标</w:t>
            </w: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E1DB">
            <w:pPr>
              <w:pStyle w:val="18"/>
              <w:bidi w:val="0"/>
              <w:rPr>
                <w:rFonts w:hint="default" w:ascii="Times New Roman" w:hAnsi="Times New Roman" w:cs="Times New Roman"/>
                <w:highlight w:val="none"/>
              </w:rPr>
            </w:pPr>
            <w:r>
              <w:rPr>
                <w:rFonts w:hint="default" w:ascii="Times New Roman" w:hAnsi="Times New Roman" w:cs="Times New Roman"/>
                <w:highlight w:val="none"/>
                <w:lang w:val="en-US" w:eastAsia="zh-CN"/>
              </w:rPr>
              <w:t>经费支付及时率</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CD6E">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EAB9D">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7</w:t>
            </w:r>
          </w:p>
        </w:tc>
      </w:tr>
      <w:tr w14:paraId="39093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6" w:hRule="atLeast"/>
        </w:trPr>
        <w:tc>
          <w:tcPr>
            <w:tcW w:w="1270" w:type="dxa"/>
            <w:vMerge w:val="continue"/>
            <w:tcBorders>
              <w:left w:val="single" w:color="000000" w:sz="4" w:space="0"/>
              <w:bottom w:val="single" w:color="000000" w:sz="4" w:space="0"/>
              <w:right w:val="single" w:color="000000" w:sz="4" w:space="0"/>
            </w:tcBorders>
            <w:shd w:val="clear" w:color="auto" w:fill="auto"/>
            <w:vAlign w:val="center"/>
          </w:tcPr>
          <w:p w14:paraId="0B56A0E5">
            <w:pPr>
              <w:pStyle w:val="18"/>
              <w:bidi w:val="0"/>
              <w:rPr>
                <w:rFonts w:hint="default" w:ascii="Times New Roman" w:hAnsi="Times New Roman" w:cs="Times New Roman"/>
                <w:highlight w:val="none"/>
              </w:rPr>
            </w:pP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AF483">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成本指标</w:t>
            </w:r>
          </w:p>
        </w:tc>
        <w:tc>
          <w:tcPr>
            <w:tcW w:w="33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7767">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支持保安保洁费用</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E31EA">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3F7B1">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5</w:t>
            </w:r>
          </w:p>
        </w:tc>
      </w:tr>
      <w:tr w14:paraId="4938F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589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3D197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合计</w:t>
            </w:r>
          </w:p>
        </w:tc>
        <w:tc>
          <w:tcPr>
            <w:tcW w:w="12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ADACB">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C870">
            <w:pPr>
              <w:pStyle w:val="18"/>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40</w:t>
            </w:r>
          </w:p>
        </w:tc>
      </w:tr>
    </w:tbl>
    <w:p w14:paraId="317A52E3">
      <w:pPr>
        <w:keepNext w:val="0"/>
        <w:keepLines w:val="0"/>
        <w:pageBreakBefore w:val="0"/>
        <w:numPr>
          <w:ilvl w:val="0"/>
          <w:numId w:val="0"/>
        </w:numPr>
        <w:wordWrap/>
        <w:overflowPunct/>
        <w:bidi w:val="0"/>
        <w:jc w:val="both"/>
        <w:rPr>
          <w:rFonts w:hint="default" w:ascii="Times New Roman" w:hAnsi="Times New Roman" w:eastAsia="宋体" w:cs="Times New Roman"/>
          <w:spacing w:val="8"/>
          <w:sz w:val="24"/>
          <w:szCs w:val="24"/>
          <w:highlight w:val="none"/>
          <w:lang w:val="en-US" w:eastAsia="zh-CN"/>
        </w:rPr>
      </w:pPr>
    </w:p>
    <w:p w14:paraId="5FADFE2A">
      <w:pPr>
        <w:bidi w:val="0"/>
        <w:ind w:left="0" w:leftChars="0" w:firstLine="640" w:firstLineChars="0"/>
        <w:outlineLvl w:val="2"/>
        <w:rPr>
          <w:rFonts w:hint="default" w:ascii="Times New Roman" w:hAnsi="Times New Roman" w:cs="Times New Roman"/>
          <w:b w:val="0"/>
          <w:bCs w:val="0"/>
          <w:highlight w:val="none"/>
          <w:lang w:val="en-US" w:eastAsia="zh-CN"/>
        </w:rPr>
      </w:pPr>
      <w:bookmarkStart w:id="247" w:name="_Toc10420"/>
      <w:bookmarkStart w:id="248" w:name="_Toc30251"/>
      <w:bookmarkStart w:id="249" w:name="_Toc13223"/>
      <w:bookmarkStart w:id="250" w:name="_Toc23194"/>
      <w:r>
        <w:rPr>
          <w:rFonts w:hint="default" w:ascii="Times New Roman" w:hAnsi="Times New Roman" w:cs="Times New Roman"/>
          <w:b w:val="0"/>
          <w:bCs w:val="0"/>
          <w:highlight w:val="none"/>
          <w:lang w:val="en-US" w:eastAsia="zh-CN"/>
        </w:rPr>
        <w:t>1.数量指标</w:t>
      </w:r>
      <w:bookmarkEnd w:id="247"/>
      <w:bookmarkEnd w:id="248"/>
      <w:bookmarkEnd w:id="249"/>
      <w:bookmarkEnd w:id="250"/>
    </w:p>
    <w:p w14:paraId="67EA94F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对于“覆盖退休站数量”：</w:t>
      </w:r>
      <w:r>
        <w:rPr>
          <w:rFonts w:hint="default" w:ascii="Times New Roman" w:hAnsi="Times New Roman" w:cs="Times New Roman"/>
          <w:highlight w:val="none"/>
          <w:lang w:val="en-US" w:eastAsia="zh-CN"/>
        </w:rPr>
        <w:t>预期目标值为7座，实际覆盖7座，指标完成率100%，综上所述，该指标满分7分，得</w:t>
      </w:r>
    </w:p>
    <w:p w14:paraId="06C8EAC0">
      <w:pPr>
        <w:bidi w:val="0"/>
        <w:ind w:left="0" w:leftChars="0" w:firstLine="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分7分。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对于“覆盖企业退休人员”：</w:t>
      </w:r>
      <w:r>
        <w:rPr>
          <w:rFonts w:hint="default" w:ascii="Times New Roman" w:hAnsi="Times New Roman" w:cs="Times New Roman"/>
          <w:highlight w:val="none"/>
          <w:lang w:val="en-US" w:eastAsia="zh-CN"/>
        </w:rPr>
        <w:t>预期目标值≥9000人，实际完成值9101人，指标完成率100%，综上所述，该指标满分7分，得分7分。</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b/>
          <w:bCs/>
          <w:highlight w:val="none"/>
          <w:lang w:val="en-US" w:eastAsia="zh-CN"/>
        </w:rPr>
        <w:t>对于“支持保安保洁人员工资次数”：</w:t>
      </w:r>
      <w:r>
        <w:rPr>
          <w:rFonts w:hint="default" w:ascii="Times New Roman" w:hAnsi="Times New Roman" w:cs="Times New Roman"/>
          <w:highlight w:val="none"/>
          <w:lang w:val="en-US" w:eastAsia="zh-CN"/>
        </w:rPr>
        <w:t>预期目标值≤12次，实际完成值9次，指标完成率75%，综上所述，该指标满分7分，得分7分。</w:t>
      </w:r>
    </w:p>
    <w:p w14:paraId="186A8CE9">
      <w:pPr>
        <w:numPr>
          <w:ilvl w:val="0"/>
          <w:numId w:val="0"/>
        </w:numPr>
        <w:bidi w:val="0"/>
        <w:ind w:left="0" w:leftChars="0" w:firstLine="640" w:firstLineChars="0"/>
        <w:outlineLvl w:val="2"/>
        <w:rPr>
          <w:rFonts w:hint="default" w:ascii="Times New Roman" w:hAnsi="Times New Roman" w:cs="Times New Roman"/>
          <w:highlight w:val="none"/>
          <w:lang w:val="en-US" w:eastAsia="zh-CN"/>
        </w:rPr>
      </w:pPr>
      <w:bookmarkStart w:id="251" w:name="_Toc18243"/>
      <w:bookmarkStart w:id="252" w:name="_Toc3961"/>
      <w:bookmarkStart w:id="253" w:name="_Toc5579"/>
      <w:bookmarkStart w:id="254" w:name="_Toc31215"/>
      <w:r>
        <w:rPr>
          <w:rFonts w:hint="default" w:ascii="Times New Roman" w:hAnsi="Times New Roman" w:cs="Times New Roman"/>
          <w:highlight w:val="none"/>
          <w:lang w:val="en-US" w:eastAsia="zh-CN"/>
        </w:rPr>
        <w:t>2.质量指标</w:t>
      </w:r>
      <w:bookmarkEnd w:id="251"/>
      <w:bookmarkEnd w:id="252"/>
      <w:bookmarkEnd w:id="253"/>
      <w:bookmarkEnd w:id="254"/>
    </w:p>
    <w:p w14:paraId="14363283">
      <w:pPr>
        <w:numPr>
          <w:ilvl w:val="0"/>
          <w:numId w:val="0"/>
        </w:num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对于“保障老年活动中心正常运转率”：</w:t>
      </w:r>
      <w:r>
        <w:rPr>
          <w:rFonts w:hint="default" w:ascii="Times New Roman" w:hAnsi="Times New Roman" w:cs="Times New Roman"/>
          <w:highlight w:val="none"/>
          <w:lang w:val="en-US" w:eastAsia="zh-CN"/>
        </w:rPr>
        <w:t>预期指标值85%，实际完成值85%，指标完成率100%，综上所述，该指标满分7分，得分7分。</w:t>
      </w:r>
    </w:p>
    <w:p w14:paraId="69454F17">
      <w:pPr>
        <w:bidi w:val="0"/>
        <w:ind w:left="0" w:leftChars="0" w:firstLine="640" w:firstLineChars="0"/>
        <w:outlineLvl w:val="2"/>
        <w:rPr>
          <w:rFonts w:hint="default" w:ascii="Times New Roman" w:hAnsi="Times New Roman" w:cs="Times New Roman"/>
          <w:highlight w:val="none"/>
          <w:lang w:val="en-US" w:eastAsia="zh-CN"/>
        </w:rPr>
      </w:pPr>
      <w:bookmarkStart w:id="255" w:name="_Toc19024"/>
      <w:bookmarkStart w:id="256" w:name="_Toc30661"/>
      <w:bookmarkStart w:id="257" w:name="_Toc400"/>
      <w:bookmarkStart w:id="258" w:name="_Toc30722"/>
      <w:r>
        <w:rPr>
          <w:rFonts w:hint="default" w:ascii="Times New Roman" w:hAnsi="Times New Roman" w:cs="Times New Roman"/>
          <w:highlight w:val="none"/>
          <w:lang w:val="en-US" w:eastAsia="zh-CN"/>
        </w:rPr>
        <w:t>3.时效指标</w:t>
      </w:r>
      <w:bookmarkEnd w:id="255"/>
      <w:bookmarkEnd w:id="256"/>
      <w:bookmarkEnd w:id="257"/>
      <w:bookmarkEnd w:id="258"/>
    </w:p>
    <w:p w14:paraId="21AB9D3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对于“经费支付及时率”：</w:t>
      </w:r>
      <w:r>
        <w:rPr>
          <w:rFonts w:hint="default" w:ascii="Times New Roman" w:hAnsi="Times New Roman" w:cs="Times New Roman"/>
          <w:highlight w:val="none"/>
          <w:lang w:val="en-US" w:eastAsia="zh-CN"/>
        </w:rPr>
        <w:t>预期指标值90%，实际完成值90%，指标完成率100%，综上所述，该指标满分7分，得分7分。</w:t>
      </w:r>
    </w:p>
    <w:p w14:paraId="172CD63A">
      <w:pPr>
        <w:bidi w:val="0"/>
        <w:ind w:left="0" w:leftChars="0" w:firstLine="640" w:firstLineChars="0"/>
        <w:outlineLvl w:val="2"/>
        <w:rPr>
          <w:rFonts w:hint="default" w:ascii="Times New Roman" w:hAnsi="Times New Roman" w:cs="Times New Roman"/>
          <w:highlight w:val="none"/>
          <w:lang w:val="en-US" w:eastAsia="zh-CN"/>
        </w:rPr>
      </w:pPr>
      <w:bookmarkStart w:id="259" w:name="_Toc7934"/>
      <w:bookmarkStart w:id="260" w:name="_Toc11143"/>
      <w:bookmarkStart w:id="261" w:name="_Toc31148"/>
      <w:bookmarkStart w:id="262" w:name="_Toc27467"/>
      <w:r>
        <w:rPr>
          <w:rFonts w:hint="default" w:ascii="Times New Roman" w:hAnsi="Times New Roman" w:cs="Times New Roman"/>
          <w:highlight w:val="none"/>
          <w:lang w:val="en-US" w:eastAsia="zh-CN"/>
        </w:rPr>
        <w:t>4.成本指标</w:t>
      </w:r>
      <w:bookmarkEnd w:id="259"/>
      <w:bookmarkEnd w:id="260"/>
      <w:bookmarkEnd w:id="261"/>
      <w:bookmarkEnd w:id="262"/>
    </w:p>
    <w:p w14:paraId="7ED6A8CC">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b/>
          <w:bCs/>
          <w:highlight w:val="none"/>
          <w:lang w:val="en-US" w:eastAsia="zh-CN"/>
        </w:rPr>
        <w:t>对于“支持保安保洁费用”：</w:t>
      </w:r>
      <w:r>
        <w:rPr>
          <w:rFonts w:hint="default" w:ascii="Times New Roman" w:hAnsi="Times New Roman" w:cs="Times New Roman"/>
          <w:highlight w:val="none"/>
          <w:lang w:val="en-US" w:eastAsia="zh-CN"/>
        </w:rPr>
        <w:t>预期指标值≤47.8万元，实际完成值35.85万元，指标完成率100%，综上所述，该指标满分5分，得分5分。</w:t>
      </w:r>
    </w:p>
    <w:p w14:paraId="7748BB91">
      <w:pPr>
        <w:pStyle w:val="4"/>
        <w:bidi w:val="0"/>
        <w:outlineLvl w:val="1"/>
        <w:rPr>
          <w:rFonts w:hint="default" w:ascii="Times New Roman" w:hAnsi="Times New Roman" w:cs="Times New Roman"/>
          <w:highlight w:val="none"/>
          <w:lang w:val="en-US" w:eastAsia="zh-CN"/>
        </w:rPr>
      </w:pPr>
      <w:bookmarkStart w:id="263" w:name="_Toc4762"/>
      <w:bookmarkStart w:id="264" w:name="_Toc7344"/>
      <w:bookmarkStart w:id="265" w:name="_Toc27667"/>
      <w:bookmarkStart w:id="266" w:name="_Toc31074"/>
      <w:r>
        <w:rPr>
          <w:rFonts w:hint="default" w:ascii="Times New Roman" w:hAnsi="Times New Roman" w:cs="Times New Roman"/>
          <w:highlight w:val="none"/>
          <w:lang w:val="en-US" w:eastAsia="zh-CN"/>
        </w:rPr>
        <w:t>（四）效益情况分析</w:t>
      </w:r>
      <w:bookmarkEnd w:id="263"/>
      <w:bookmarkEnd w:id="264"/>
      <w:bookmarkEnd w:id="265"/>
      <w:bookmarkEnd w:id="266"/>
    </w:p>
    <w:p w14:paraId="30B11D14">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效益类指标是从社会效益指标对项目实施进行考察，项目效益类指标其一为“项目受益人数”，预期指标值为≥700人，实际完成值为700人，指标完成率100%，该指标满分10分，实际得分10分。其二为满意度指标，是指项目受益人群对项目效果的满意程度，具体为“服务对象满意度”，预期指标值≥85%，实际完成值85%，指标完成率100%，该指标满分10分，实际得分10分。</w:t>
      </w:r>
    </w:p>
    <w:p w14:paraId="38ED6D56">
      <w:pPr>
        <w:pStyle w:val="3"/>
        <w:bidi w:val="0"/>
        <w:outlineLvl w:val="1"/>
        <w:rPr>
          <w:rFonts w:hint="default" w:ascii="Times New Roman" w:hAnsi="Times New Roman" w:cs="Times New Roman"/>
          <w:highlight w:val="none"/>
          <w:lang w:val="en-US" w:eastAsia="zh-CN"/>
        </w:rPr>
      </w:pPr>
      <w:bookmarkStart w:id="267" w:name="_Toc27373"/>
      <w:bookmarkStart w:id="268" w:name="_Toc2263"/>
      <w:bookmarkStart w:id="269" w:name="_Toc15723"/>
      <w:bookmarkStart w:id="270" w:name="_Toc8324"/>
      <w:r>
        <w:rPr>
          <w:rFonts w:hint="default" w:ascii="Times New Roman" w:hAnsi="Times New Roman" w:cs="Times New Roman"/>
          <w:highlight w:val="none"/>
          <w:lang w:val="en-US" w:eastAsia="zh-CN"/>
        </w:rPr>
        <w:t>五、主要经验及做法</w:t>
      </w:r>
      <w:bookmarkEnd w:id="267"/>
      <w:bookmarkEnd w:id="268"/>
      <w:bookmarkEnd w:id="269"/>
      <w:bookmarkEnd w:id="270"/>
    </w:p>
    <w:p w14:paraId="71A9FB88">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昆仑路街道办事处共接收国有企业退休人员9000余人，并按照居住地划分到各社区做好政策宣传及相关服务工作，依照区国有企业退休人员社会化管理中心的工作部署要求，高质高效的推进了国有企业退休人员社会化管理工作，昆仑路街道办事处2024年持续进行摸底排查、政策宣传、探访慰问、开展服务活动、做好了服务保障、搭建街道与退休站之间的融合与沟通桥梁，推动国有企业退休人员社会化管理工作扎实有序进行，项目的建设丰富了退休人员的生活，强化退休人员自我管理服务，引导和动员退休人员发挥余热，确保对国有企业退休人员服务到位，完成了实施国有企业退休人员社会化管理任务。</w:t>
      </w:r>
    </w:p>
    <w:p w14:paraId="4FAC6E33">
      <w:pPr>
        <w:pStyle w:val="3"/>
        <w:numPr>
          <w:ilvl w:val="0"/>
          <w:numId w:val="4"/>
        </w:numPr>
        <w:bidi w:val="0"/>
        <w:outlineLvl w:val="1"/>
        <w:rPr>
          <w:rFonts w:hint="default" w:ascii="Times New Roman" w:hAnsi="Times New Roman" w:cs="Times New Roman"/>
          <w:highlight w:val="none"/>
          <w:lang w:val="en-US" w:eastAsia="zh-CN"/>
        </w:rPr>
      </w:pPr>
      <w:bookmarkStart w:id="271" w:name="_Toc373"/>
      <w:bookmarkStart w:id="272" w:name="_Toc19138"/>
      <w:bookmarkStart w:id="273" w:name="_Toc19290"/>
      <w:bookmarkStart w:id="274" w:name="_Toc12297"/>
      <w:r>
        <w:rPr>
          <w:rFonts w:hint="default" w:ascii="Times New Roman" w:hAnsi="Times New Roman" w:cs="Times New Roman"/>
          <w:highlight w:val="none"/>
          <w:lang w:val="en-US" w:eastAsia="zh-CN"/>
        </w:rPr>
        <w:t>存在问题及原因分析</w:t>
      </w:r>
      <w:bookmarkEnd w:id="271"/>
      <w:bookmarkEnd w:id="272"/>
      <w:bookmarkEnd w:id="273"/>
      <w:bookmarkEnd w:id="274"/>
    </w:p>
    <w:p w14:paraId="4CDFEFAC">
      <w:pPr>
        <w:pStyle w:val="4"/>
        <w:bidi w:val="0"/>
        <w:outlineLvl w:val="1"/>
        <w:rPr>
          <w:rFonts w:hint="default" w:ascii="Times New Roman" w:hAnsi="Times New Roman" w:eastAsia="宋体" w:cs="Times New Roman"/>
          <w:highlight w:val="none"/>
          <w:lang w:val="en-US" w:eastAsia="zh-CN"/>
        </w:rPr>
      </w:pPr>
      <w:bookmarkStart w:id="275" w:name="_Toc1239"/>
      <w:bookmarkStart w:id="276" w:name="_Toc2782"/>
      <w:bookmarkStart w:id="277" w:name="_Toc1395"/>
      <w:bookmarkStart w:id="278" w:name="_Toc28895"/>
      <w:r>
        <w:rPr>
          <w:rFonts w:hint="default" w:ascii="Times New Roman" w:hAnsi="Times New Roman" w:cs="Times New Roman"/>
          <w:highlight w:val="none"/>
          <w:lang w:val="en-US" w:eastAsia="zh-CN"/>
        </w:rPr>
        <w:t>（一）绩效管理方面</w:t>
      </w:r>
      <w:bookmarkEnd w:id="275"/>
      <w:bookmarkEnd w:id="276"/>
      <w:bookmarkEnd w:id="277"/>
    </w:p>
    <w:p w14:paraId="7173A519">
      <w:pPr>
        <w:bidi w:val="0"/>
        <w:ind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1.项目绩效指标设计不够合理</w:t>
      </w:r>
    </w:p>
    <w:p w14:paraId="45501200">
      <w:pPr>
        <w:bidi w:val="0"/>
        <w:ind w:firstLine="640" w:firstLineChars="0"/>
        <w:rPr>
          <w:rFonts w:hint="default" w:ascii="Times New Roman" w:hAnsi="Times New Roman" w:cs="Times New Roman"/>
          <w:b/>
          <w:bCs/>
          <w:highlight w:val="none"/>
          <w:lang w:val="en-US" w:eastAsia="zh-CN"/>
        </w:rPr>
      </w:pPr>
      <w:r>
        <w:rPr>
          <w:rFonts w:hint="default" w:ascii="Times New Roman" w:hAnsi="Times New Roman" w:cs="Times New Roman"/>
          <w:highlight w:val="none"/>
          <w:lang w:val="en-US" w:eastAsia="zh-CN"/>
        </w:rPr>
        <w:t>在一级指标项目效益指标中，三级指标项目“项目受益人数”预期指标为≥700人，完成值为700人，指标表述不准确，建议改为（每个）项目活动受益人数；产出指标中三级指标“覆盖企业退休人员”预期指标为≥9000人，此指标为所有项目受益人数，与“项目受益人数”未形成逻辑关系，设计不合理。</w:t>
      </w:r>
    </w:p>
    <w:p w14:paraId="168673CE">
      <w:pPr>
        <w:pStyle w:val="3"/>
        <w:bidi w:val="0"/>
        <w:outlineLvl w:val="1"/>
        <w:rPr>
          <w:rFonts w:hint="default" w:ascii="Times New Roman" w:hAnsi="Times New Roman" w:cs="Times New Roman"/>
          <w:highlight w:val="none"/>
          <w:lang w:val="en-US" w:eastAsia="zh-CN"/>
        </w:rPr>
      </w:pPr>
      <w:bookmarkStart w:id="279" w:name="_Toc10778"/>
      <w:bookmarkStart w:id="280" w:name="_Toc9049"/>
      <w:bookmarkStart w:id="281" w:name="_Toc19532"/>
      <w:r>
        <w:rPr>
          <w:rFonts w:hint="default" w:ascii="Times New Roman" w:hAnsi="Times New Roman" w:cs="Times New Roman"/>
          <w:highlight w:val="none"/>
          <w:lang w:val="en-US" w:eastAsia="zh-CN"/>
        </w:rPr>
        <w:t>七、针对问题提出的建议</w:t>
      </w:r>
      <w:bookmarkEnd w:id="278"/>
      <w:bookmarkEnd w:id="279"/>
      <w:bookmarkEnd w:id="280"/>
      <w:bookmarkEnd w:id="281"/>
    </w:p>
    <w:p w14:paraId="6CDCEF1A">
      <w:pPr>
        <w:pStyle w:val="4"/>
        <w:bidi w:val="0"/>
        <w:outlineLvl w:val="1"/>
        <w:rPr>
          <w:rFonts w:hint="default" w:ascii="Times New Roman" w:hAnsi="Times New Roman" w:cs="Times New Roman"/>
          <w:highlight w:val="none"/>
          <w:lang w:val="en-US" w:eastAsia="zh-CN"/>
        </w:rPr>
      </w:pPr>
      <w:bookmarkStart w:id="282" w:name="_Toc20545"/>
      <w:bookmarkStart w:id="283" w:name="_Toc1891"/>
      <w:bookmarkStart w:id="284" w:name="_Toc9456"/>
      <w:r>
        <w:rPr>
          <w:rFonts w:hint="default" w:ascii="Times New Roman" w:hAnsi="Times New Roman" w:cs="Times New Roman"/>
          <w:highlight w:val="none"/>
          <w:lang w:val="en-US" w:eastAsia="zh-CN"/>
        </w:rPr>
        <w:t>（一）绩效管理方面</w:t>
      </w:r>
      <w:bookmarkEnd w:id="282"/>
      <w:bookmarkEnd w:id="283"/>
      <w:bookmarkEnd w:id="284"/>
    </w:p>
    <w:p w14:paraId="74A4196B">
      <w:pPr>
        <w:bidi w:val="0"/>
        <w:ind w:firstLine="640" w:firstLineChars="20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1.优化绩效指标体系设计</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ab/>
      </w:r>
      <w:r>
        <w:rPr>
          <w:rFonts w:hint="default" w:ascii="Times New Roman" w:hAnsi="Times New Roman" w:cs="Times New Roman"/>
          <w:highlight w:val="none"/>
          <w:lang w:val="en-US" w:eastAsia="zh-CN"/>
        </w:rPr>
        <w:t>明确指标定义与统计口径，对每个指标如“项目受益人数”、“覆盖企业退休人员”给出清晰、无歧义的操作性定义，明确统计范围、方法和数据来源。区分产出、效益与满意度，清晰界定产出指标、效益指标和满意度指标，避免将不同层级的指标混为一谈。如“覆盖企业退休人员”更倾向于服务覆盖范围，“项目受益人数”可能更接近效益或实际参与度。</w:t>
      </w:r>
    </w:p>
    <w:p w14:paraId="24414799">
      <w:pPr>
        <w:pStyle w:val="3"/>
        <w:bidi w:val="0"/>
        <w:outlineLvl w:val="1"/>
        <w:rPr>
          <w:rFonts w:hint="default" w:ascii="Times New Roman" w:hAnsi="Times New Roman" w:cs="Times New Roman"/>
          <w:highlight w:val="none"/>
          <w:lang w:val="en-US" w:eastAsia="zh-CN"/>
        </w:rPr>
      </w:pPr>
      <w:bookmarkStart w:id="285" w:name="_Toc8022"/>
      <w:bookmarkStart w:id="286" w:name="_Toc20039"/>
      <w:bookmarkStart w:id="287" w:name="_Toc28018"/>
      <w:bookmarkStart w:id="288" w:name="_Toc18514"/>
      <w:r>
        <w:rPr>
          <w:rFonts w:hint="default" w:ascii="Times New Roman" w:hAnsi="Times New Roman" w:cs="Times New Roman"/>
          <w:highlight w:val="none"/>
          <w:lang w:val="en-US" w:eastAsia="zh-CN"/>
        </w:rPr>
        <w:t>八、绩效评价结果应用建议</w:t>
      </w:r>
      <w:bookmarkEnd w:id="285"/>
      <w:bookmarkEnd w:id="286"/>
      <w:bookmarkEnd w:id="287"/>
      <w:bookmarkEnd w:id="288"/>
    </w:p>
    <w:p w14:paraId="25485B26">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绩效评价结果为“优”，从绩效管理方面来看，克拉玛依区昆仑路街道办事处主要存在预算编制不精确、绩效指标设置不清晰、资金管理不到位、项目制度不健全、资金用途不规范等问题。因此，我司对本项目评价结果提出以下建议：</w:t>
      </w:r>
    </w:p>
    <w:p w14:paraId="6622D58A">
      <w:pPr>
        <w:pStyle w:val="4"/>
        <w:bidi w:val="0"/>
        <w:outlineLvl w:val="1"/>
        <w:rPr>
          <w:rFonts w:hint="default" w:ascii="Times New Roman" w:hAnsi="Times New Roman" w:cs="Times New Roman"/>
          <w:highlight w:val="none"/>
          <w:lang w:val="en-US" w:eastAsia="zh-CN"/>
        </w:rPr>
      </w:pPr>
      <w:bookmarkStart w:id="289" w:name="_Toc21562"/>
      <w:bookmarkStart w:id="290" w:name="_Toc24176"/>
      <w:bookmarkStart w:id="291" w:name="_Toc32471"/>
      <w:bookmarkStart w:id="292" w:name="_Toc12345"/>
      <w:r>
        <w:rPr>
          <w:rFonts w:hint="default" w:ascii="Times New Roman" w:hAnsi="Times New Roman" w:cs="Times New Roman"/>
          <w:highlight w:val="none"/>
          <w:lang w:val="en-US" w:eastAsia="zh-CN"/>
        </w:rPr>
        <w:t>（一）对评价中发现的问题进行整改</w:t>
      </w:r>
      <w:bookmarkEnd w:id="289"/>
      <w:bookmarkEnd w:id="290"/>
      <w:bookmarkEnd w:id="291"/>
      <w:bookmarkEnd w:id="292"/>
    </w:p>
    <w:p w14:paraId="691072E1">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建议克拉玛依区昆仑路街道办事处对标对表、拉单列表，及时研究制定整改措施，确定整改期限，积极整改，加强制度建设，健全完善资金管理、项目管理和绩效管理等相关制度和办法，按期完成整改任务。</w:t>
      </w:r>
    </w:p>
    <w:p w14:paraId="400C7064">
      <w:pPr>
        <w:pStyle w:val="4"/>
        <w:bidi w:val="0"/>
        <w:outlineLvl w:val="1"/>
        <w:rPr>
          <w:rFonts w:hint="default" w:ascii="Times New Roman" w:hAnsi="Times New Roman" w:cs="Times New Roman"/>
          <w:highlight w:val="none"/>
          <w:lang w:val="en-US" w:eastAsia="zh-CN"/>
        </w:rPr>
      </w:pPr>
      <w:bookmarkStart w:id="293" w:name="_Toc4037"/>
      <w:bookmarkStart w:id="294" w:name="_Toc25352"/>
      <w:bookmarkStart w:id="295" w:name="_Toc24843"/>
      <w:bookmarkStart w:id="296" w:name="_Toc3521"/>
      <w:r>
        <w:rPr>
          <w:rFonts w:hint="default" w:ascii="Times New Roman" w:hAnsi="Times New Roman" w:cs="Times New Roman"/>
          <w:highlight w:val="none"/>
          <w:lang w:val="en-US" w:eastAsia="zh-CN"/>
        </w:rPr>
        <w:t>（二）下一年度预算安排</w:t>
      </w:r>
      <w:bookmarkEnd w:id="293"/>
      <w:bookmarkEnd w:id="294"/>
      <w:bookmarkEnd w:id="295"/>
      <w:bookmarkEnd w:id="296"/>
    </w:p>
    <w:p w14:paraId="3230BF8C">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建议根据克拉玛依区财政局关于预算绩效管理相关政策要求，将本次重点项目绩效评价结果作为克拉玛依区昆仑路街道办事处次年类似资金安排的参考依据，逐步健全绩效管理激励约束机制，促使部门履行好预算绩效管理的主体责任，促进克拉玛依区昆仑路街道办事处的预算编制更精准更科学更完整，绩效目标设置更明确更细化更全面，切实提高财政资源配置效率和使用效率。</w:t>
      </w:r>
    </w:p>
    <w:p w14:paraId="1B943A65">
      <w:pPr>
        <w:pStyle w:val="4"/>
        <w:bidi w:val="0"/>
        <w:outlineLvl w:val="1"/>
        <w:rPr>
          <w:rFonts w:hint="default" w:ascii="Times New Roman" w:hAnsi="Times New Roman" w:cs="Times New Roman"/>
          <w:highlight w:val="none"/>
          <w:lang w:val="en-US" w:eastAsia="zh-CN"/>
        </w:rPr>
      </w:pPr>
      <w:bookmarkStart w:id="297" w:name="_Toc13903"/>
      <w:bookmarkStart w:id="298" w:name="_Toc19663"/>
      <w:bookmarkStart w:id="299" w:name="_Toc29667"/>
      <w:bookmarkStart w:id="300" w:name="_Toc27192"/>
      <w:r>
        <w:rPr>
          <w:rFonts w:hint="default" w:ascii="Times New Roman" w:hAnsi="Times New Roman" w:cs="Times New Roman"/>
          <w:highlight w:val="none"/>
          <w:lang w:val="en-US" w:eastAsia="zh-CN"/>
        </w:rPr>
        <w:t>（三）评价结果公开</w:t>
      </w:r>
      <w:bookmarkEnd w:id="297"/>
      <w:bookmarkEnd w:id="298"/>
      <w:bookmarkEnd w:id="299"/>
      <w:bookmarkEnd w:id="300"/>
    </w:p>
    <w:p w14:paraId="1EDA9719">
      <w:pPr>
        <w:keepNext w:val="0"/>
        <w:keepLines w:val="0"/>
        <w:pageBreakBefore w:val="0"/>
        <w:numPr>
          <w:ilvl w:val="0"/>
          <w:numId w:val="0"/>
        </w:numPr>
        <w:wordWrap/>
        <w:overflowPunct/>
        <w:bidi w:val="0"/>
        <w:ind w:firstLine="640" w:firstLineChars="20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建议按照政府信息公开等有关要求，遵循“谁组织实施、谁进行公开”的原则，根据上级统一部署，对绩效评价结果采取适度公开，不断提升绩效评价社会参与度。</w:t>
      </w:r>
    </w:p>
    <w:p w14:paraId="6184BBDD">
      <w:pPr>
        <w:pStyle w:val="3"/>
        <w:numPr>
          <w:ilvl w:val="0"/>
          <w:numId w:val="5"/>
        </w:numPr>
        <w:bidi w:val="0"/>
        <w:outlineLvl w:val="1"/>
        <w:rPr>
          <w:rFonts w:hint="default" w:ascii="Times New Roman" w:hAnsi="Times New Roman" w:cs="Times New Roman"/>
          <w:highlight w:val="none"/>
          <w:lang w:val="en-US" w:eastAsia="zh-CN"/>
        </w:rPr>
      </w:pPr>
      <w:bookmarkStart w:id="301" w:name="_Toc13092"/>
      <w:bookmarkStart w:id="302" w:name="_Toc18943"/>
      <w:bookmarkStart w:id="303" w:name="_Toc21708"/>
      <w:bookmarkStart w:id="304" w:name="_Toc692"/>
      <w:r>
        <w:rPr>
          <w:rFonts w:hint="default" w:ascii="Times New Roman" w:hAnsi="Times New Roman" w:cs="Times New Roman"/>
          <w:highlight w:val="none"/>
          <w:lang w:val="en-US" w:eastAsia="zh-CN"/>
        </w:rPr>
        <w:t>其他需要说明的情况</w:t>
      </w:r>
      <w:bookmarkEnd w:id="301"/>
      <w:bookmarkEnd w:id="302"/>
      <w:bookmarkEnd w:id="303"/>
      <w:bookmarkEnd w:id="304"/>
    </w:p>
    <w:p w14:paraId="0015B83D">
      <w:pPr>
        <w:pStyle w:val="4"/>
        <w:bidi w:val="0"/>
        <w:outlineLvl w:val="1"/>
        <w:rPr>
          <w:rFonts w:hint="default" w:ascii="Times New Roman" w:hAnsi="Times New Roman" w:cs="Times New Roman"/>
          <w:highlight w:val="none"/>
          <w:lang w:val="en-US" w:eastAsia="zh-CN"/>
        </w:rPr>
      </w:pPr>
      <w:bookmarkStart w:id="305" w:name="_Toc13819"/>
      <w:bookmarkStart w:id="306" w:name="_Toc5417"/>
      <w:bookmarkStart w:id="307" w:name="_Toc10314"/>
      <w:bookmarkStart w:id="308" w:name="_Toc24591"/>
      <w:r>
        <w:rPr>
          <w:rFonts w:hint="default" w:ascii="Times New Roman" w:hAnsi="Times New Roman" w:cs="Times New Roman"/>
          <w:highlight w:val="none"/>
          <w:lang w:val="en-US" w:eastAsia="zh-CN"/>
        </w:rPr>
        <w:t>（一）关于评价责任的说明</w:t>
      </w:r>
      <w:bookmarkEnd w:id="305"/>
      <w:bookmarkEnd w:id="306"/>
      <w:bookmarkEnd w:id="307"/>
      <w:bookmarkEnd w:id="308"/>
    </w:p>
    <w:p w14:paraId="4CC9F1E2">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1.克拉玛依区昆仑路街道办提供了绩效评价报告相关的大部分基础工作材料和资金财务资料，并对其真实性、合法性、完整性负责。绩效评价结论的可靠性基于相关部门和单位提供资料真实性、完整性，项目绩效评价小组已尽可能地收集更为全面、有效、准确的文件和数据，但由于受客观因素的限制，项目绩效评价小组只能在上述单位提供现有资料的前提下，结合应有的职业判断作出尽可能可靠的评价结论。本报告使用人对评价结果的把握应建立在对本报告所提供的有关评价结果的各项条件及说明的认真阅读和理解的基础之上。</w:t>
      </w:r>
    </w:p>
    <w:p w14:paraId="7214B569">
      <w:pPr>
        <w:bidi w:val="0"/>
        <w:ind w:left="0" w:leftChars="0" w:firstLine="640" w:firstLineChars="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2.我司与委托方和预算单位之间不存在任何特殊的、需要回避的利害关系，项目绩效评价小组成员在开展绩效评价过程中恪守了职业道德规范。</w:t>
      </w:r>
    </w:p>
    <w:p w14:paraId="5FA3609F">
      <w:pPr>
        <w:pStyle w:val="4"/>
        <w:bidi w:val="0"/>
        <w:outlineLvl w:val="1"/>
        <w:rPr>
          <w:rFonts w:hint="default" w:ascii="Times New Roman" w:hAnsi="Times New Roman" w:cs="Times New Roman"/>
          <w:highlight w:val="none"/>
          <w:lang w:val="en-US" w:eastAsia="zh-CN"/>
        </w:rPr>
      </w:pPr>
      <w:bookmarkStart w:id="309" w:name="_Toc23681"/>
      <w:bookmarkStart w:id="310" w:name="_Toc16089"/>
      <w:bookmarkStart w:id="311" w:name="_Toc8545"/>
      <w:bookmarkStart w:id="312" w:name="_Toc32482"/>
      <w:r>
        <w:rPr>
          <w:rFonts w:hint="default" w:ascii="Times New Roman" w:hAnsi="Times New Roman" w:cs="Times New Roman"/>
          <w:highlight w:val="none"/>
          <w:lang w:val="en-US" w:eastAsia="zh-CN"/>
        </w:rPr>
        <w:t>（二）本次绩效评价的局限性</w:t>
      </w:r>
      <w:bookmarkEnd w:id="309"/>
      <w:bookmarkEnd w:id="310"/>
      <w:bookmarkEnd w:id="311"/>
      <w:bookmarkEnd w:id="312"/>
    </w:p>
    <w:p w14:paraId="67A1C65D">
      <w:pPr>
        <w:bidi w:val="0"/>
        <w:ind w:left="0" w:leftChars="0" w:firstLine="640" w:firstLineChars="0"/>
        <w:rPr>
          <w:rFonts w:hint="default" w:ascii="Times New Roman" w:hAnsi="Times New Roman" w:cs="Times New Roman"/>
          <w:highlight w:val="none"/>
          <w:lang w:val="en-US" w:eastAsia="zh-CN"/>
        </w:rPr>
        <w:sectPr>
          <w:footerReference r:id="rId9"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cs="Times New Roman"/>
          <w:highlight w:val="none"/>
          <w:lang w:val="en-US" w:eastAsia="zh-CN"/>
        </w:rPr>
        <w:t>本次绩效评价采用“定量指标体系的打分评价”+“定性调查信息的归纳和提炼”两种方式互相补充，来构成对本次项目的完整评价。评价指标体系的设计与评价指标设置的完整性、科学合理程度会影响评价结果的全面性。评价结果与自评表、自评报告评分结果不具横向可比性。</w:t>
      </w:r>
    </w:p>
    <w:p w14:paraId="16BA2997">
      <w:pPr>
        <w:bidi w:val="0"/>
        <w:rPr>
          <w:rFonts w:hint="default" w:ascii="Times New Roman" w:hAnsi="Times New Roman" w:cs="Times New Roman"/>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highlight w:val="none"/>
          <w:lang w:val="en-US" w:eastAsia="zh-CN"/>
        </w:rPr>
        <w:t>本次绩效评价相关附件目录如下：</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附件1：综合评分表</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附件2：绩效评价报告征求部门意见反馈表</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附件3：访谈报告</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附件4：满意度调查问卷结果分析报告以及调查问卷样表</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附件5：现场调研照片</w:t>
      </w:r>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t>附件6：项目单位自评表及评价报告</w:t>
      </w:r>
    </w:p>
    <w:p w14:paraId="376B586F">
      <w:pPr>
        <w:keepNext w:val="0"/>
        <w:keepLines w:val="0"/>
        <w:pageBreakBefore w:val="0"/>
        <w:numPr>
          <w:ilvl w:val="0"/>
          <w:numId w:val="0"/>
        </w:numPr>
        <w:wordWrap/>
        <w:overflowPunct/>
        <w:bidi w:val="0"/>
        <w:jc w:val="both"/>
        <w:outlineLvl w:val="0"/>
        <w:rPr>
          <w:rFonts w:hint="default" w:ascii="Times New Roman" w:hAnsi="Times New Roman" w:cs="Times New Roman"/>
          <w:highlight w:val="none"/>
          <w:lang w:val="en-US" w:eastAsia="zh-CN"/>
        </w:rPr>
      </w:pPr>
      <w:bookmarkStart w:id="313" w:name="_Toc9118"/>
      <w:bookmarkStart w:id="314" w:name="_Toc16598"/>
      <w:bookmarkStart w:id="315" w:name="_Toc10217"/>
      <w:bookmarkStart w:id="316" w:name="_Toc30940"/>
      <w:r>
        <w:rPr>
          <w:rFonts w:hint="default" w:ascii="Times New Roman" w:hAnsi="Times New Roman" w:cs="Times New Roman"/>
          <w:highlight w:val="none"/>
          <w:lang w:val="en-US" w:eastAsia="zh-CN"/>
        </w:rPr>
        <w:t>附件1：综合评分表</w:t>
      </w:r>
      <w:bookmarkEnd w:id="313"/>
      <w:bookmarkEnd w:id="314"/>
      <w:bookmarkEnd w:id="315"/>
      <w:bookmarkEnd w:id="316"/>
    </w:p>
    <w:tbl>
      <w:tblPr>
        <w:tblStyle w:val="13"/>
        <w:tblW w:w="15794" w:type="dxa"/>
        <w:tblInd w:w="1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0"/>
        <w:gridCol w:w="666"/>
        <w:gridCol w:w="578"/>
        <w:gridCol w:w="1234"/>
        <w:gridCol w:w="586"/>
        <w:gridCol w:w="1885"/>
        <w:gridCol w:w="1005"/>
        <w:gridCol w:w="2759"/>
        <w:gridCol w:w="1266"/>
        <w:gridCol w:w="2545"/>
        <w:gridCol w:w="785"/>
        <w:gridCol w:w="766"/>
        <w:gridCol w:w="1059"/>
      </w:tblGrid>
      <w:tr w14:paraId="4B905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660"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9A7890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序号</w:t>
            </w:r>
          </w:p>
        </w:tc>
        <w:tc>
          <w:tcPr>
            <w:tcW w:w="666" w:type="dxa"/>
            <w:tcBorders>
              <w:top w:val="single" w:color="auto" w:sz="4" w:space="0"/>
              <w:left w:val="single" w:color="auto" w:sz="4" w:space="0"/>
              <w:bottom w:val="single" w:color="auto" w:sz="4" w:space="0"/>
              <w:right w:val="single" w:color="auto" w:sz="4" w:space="0"/>
            </w:tcBorders>
            <w:shd w:val="clear" w:color="auto" w:fill="auto"/>
            <w:textDirection w:val="tbRlV"/>
            <w:vAlign w:val="top"/>
          </w:tcPr>
          <w:p w14:paraId="567412EC">
            <w:pPr>
              <w:keepNext w:val="0"/>
              <w:keepLines w:val="0"/>
              <w:widowControl/>
              <w:suppressLineNumbers w:val="0"/>
              <w:jc w:val="center"/>
              <w:textAlignment w:val="top"/>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一级指标</w:t>
            </w:r>
          </w:p>
        </w:tc>
        <w:tc>
          <w:tcPr>
            <w:tcW w:w="578" w:type="dxa"/>
            <w:tcBorders>
              <w:top w:val="single" w:color="auto" w:sz="4" w:space="0"/>
              <w:left w:val="single" w:color="auto" w:sz="4" w:space="0"/>
              <w:bottom w:val="single" w:color="auto" w:sz="4" w:space="0"/>
              <w:right w:val="single" w:color="auto" w:sz="4" w:space="0"/>
            </w:tcBorders>
            <w:shd w:val="clear" w:color="auto" w:fill="auto"/>
            <w:textDirection w:val="tbRlV"/>
            <w:vAlign w:val="top"/>
          </w:tcPr>
          <w:p w14:paraId="40D6668E">
            <w:pPr>
              <w:keepNext w:val="0"/>
              <w:keepLines w:val="0"/>
              <w:widowControl/>
              <w:suppressLineNumbers w:val="0"/>
              <w:jc w:val="center"/>
              <w:textAlignment w:val="top"/>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二级指标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7E21AAC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三级指标</w:t>
            </w:r>
          </w:p>
        </w:tc>
        <w:tc>
          <w:tcPr>
            <w:tcW w:w="586"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499C45CA">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分值</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03BED8C5">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指标解释</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A9CC6D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目标值</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7FB0FCF8">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评分规则</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4D900784">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数据来源</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6D1E1BB">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评分过程</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6A560EFE">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扣分</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418A0E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得分</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324F8D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sz w:val="22"/>
                <w:szCs w:val="22"/>
                <w:highlight w:val="none"/>
                <w:u w:val="none"/>
              </w:rPr>
            </w:pPr>
            <w:r>
              <w:rPr>
                <w:rFonts w:hint="default" w:ascii="Times New Roman" w:hAnsi="Times New Roman" w:eastAsia="仿宋_GB2312" w:cs="Times New Roman"/>
                <w:b/>
                <w:bCs/>
                <w:i w:val="0"/>
                <w:iCs w:val="0"/>
                <w:snapToGrid w:val="0"/>
                <w:color w:val="000000"/>
                <w:kern w:val="0"/>
                <w:sz w:val="22"/>
                <w:szCs w:val="22"/>
                <w:highlight w:val="none"/>
                <w:u w:val="none"/>
                <w:lang w:val="en-US" w:eastAsia="zh-CN" w:bidi="ar"/>
              </w:rPr>
              <w:t>得分率</w:t>
            </w:r>
          </w:p>
        </w:tc>
      </w:tr>
      <w:tr w14:paraId="3F35C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2"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DA3695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 </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3DD15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项目决策（20分）</w:t>
            </w: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85F0276">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项目立项</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46FBF5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立项依据充分性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00E553F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4</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6AB06FA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项目立项是否符合法律法规、相关政策、发展规划以及部门职责，用以反映和考核项目立项依据情况。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36E9A1F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规范</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049AFBE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项目立项是否符合国家法律法规、国民经济发展规划和相关政策；②项目立项是否符合行业发展规划和政策要求；③项目立项是否与部门职责范围相符，属于部门履职所需；④项目是否属于公共财政支持范围，是否符合中央、地方事权支出责任划分原则；⑤项目是否与相关部门同类项目或部门内部相关项目重复。</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7E99BB1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相关政策文件</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0956A95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①项目立项符合《自治区党委办公厅、自治区人民政府办公厅&lt;关于加快推进国有企业退休人员社会化管理的工作方案&gt;的通知》(新党厅字〔2019〕69号)和《财政部国资委关于支持地方做好中央企业及原下放企业退休人员社会化管理工作的通知》(财资〔2020〕1号)、《关于印发〈克拉玛依市国有企业退休人员社会化管理服务暂行办法〉的通知》（新克政发〔2020〕63号）、《关于进一步加强国有企业退休人员社会化管理补助资金使用管理的通知》（新财办企〔2023〕1号）等规划及政策要求；②项目立项与克拉玛依区昆仑路街道办事处职责范围相符，属于克拉玛依区昆仑路街道办事处履职所需；③项目由克拉玛依区昆仑路街道办事处承担财政事权的支出责任，主要实行市统筹上级补助资金，财政局按照预算情况进行划拨。项目属于公共财政支持范围，符合事权支出责任划分原则；④项目与相关部门同类项目或部门内部相关项目之间不存在重复。综上所述，该指标满分4分，得分4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0B09BD9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0F505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4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4D40B84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39459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4CC94B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2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FAA2E3D">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B8A9726">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2D9170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立项程序规范性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F785E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622DE7C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项目申请、设立过程是否符合相关要求，用以反映和考核项目立项的规范情况。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7D69EBF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合规</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4A83C3A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评价要点：①项目是否按照规定的程序申请设立；②审批文件、材料是否符合相关要求；③事前是否已经过必要的可行性研究、专家论证、风险评估、绩效评估、集体决策。</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54D329B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项目申报书</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E73AB2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对于“立项程序规范性 ”：①项目按照规定的程序申请设立；②项目立项申请文件由上级部门审批同意，符合相关要求；综上所述，该指标满分3分，得分3分。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712926F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7AC147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A8F919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591C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8"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39F76BE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3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8039B9">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B40A8C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绩效目标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219B5F2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绩效目标合理性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C9BDF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4</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634B30C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项目所设定的绩效目标是否依据充分，是否符合客观实际，用以反映和考核项目绩效目标与项目实施的相符情况。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78134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合理</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4FF72C9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评价要点：①项目是否设定绩效目标；②项目绩效目标与实际工作内容是否具备相关性；③项目预期产出效益和效果是否符合正常的业绩水平。</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583CA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绩效目标表</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7C292D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对于“绩效目标合理性”：依据项目资料，①项目已经设定绩效目标；②项目绩效目标与实际工作内容具备相关性</w:t>
            </w:r>
            <w:r>
              <w:rPr>
                <w:rFonts w:hint="default" w:ascii="Times New Roman" w:hAnsi="Times New Roman" w:cs="Times New Roman"/>
                <w:i w:val="0"/>
                <w:iCs w:val="0"/>
                <w:snapToGrid w:val="0"/>
                <w:color w:val="000000"/>
                <w:kern w:val="0"/>
                <w:sz w:val="22"/>
                <w:szCs w:val="22"/>
                <w:highlight w:val="none"/>
                <w:u w:val="none"/>
                <w:lang w:val="en-US" w:eastAsia="zh-CN" w:bidi="ar"/>
              </w:rPr>
              <w:t>。</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综上所述，该指标满分4分，得分</w:t>
            </w:r>
            <w:r>
              <w:rPr>
                <w:rFonts w:hint="default" w:ascii="Times New Roman" w:hAnsi="Times New Roman" w:cs="Times New Roman"/>
                <w:i w:val="0"/>
                <w:iCs w:val="0"/>
                <w:snapToGrid w:val="0"/>
                <w:color w:val="000000"/>
                <w:kern w:val="0"/>
                <w:sz w:val="22"/>
                <w:szCs w:val="22"/>
                <w:highlight w:val="none"/>
                <w:u w:val="none"/>
                <w:lang w:val="en-US" w:eastAsia="zh-CN" w:bidi="ar"/>
              </w:rPr>
              <w:t>4</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7231F9F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A0EADE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4</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6A5D3C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.00%</w:t>
            </w:r>
          </w:p>
        </w:tc>
      </w:tr>
      <w:tr w14:paraId="4D97A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16"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31FB76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4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5567D0">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47A4C00">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3C7C0A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绩效指标明确性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19A1DF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01BF02F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依据绩效目标设定的绩效指标是否清晰、细化、可衡量等，用以反映和考核项目绩效目标的明细化情况。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FA125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明确</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009CC85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评价要点：①是否将项目绩效目标细化、分解为具体的绩效指标；②是否通过清晰、可衡量的指标值予以体现；③是否与项目年度任务数或计划数相对应。</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257AA5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绩效目标表</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CF85B8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绩效指标明确性”：根据提供的项目绩效目标表，①项目已将项目绩效目标细化、分解为具体的绩效指标，项目目标表设置三级指标8条，②部分指标定义不够明确，例如覆盖企业退休人员和项目受益人数两项指标，表面上看似乎是同一人群的不同表述，综上所述，该指标满分3分，扣1分，得分2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7FF69E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B383CB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2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C257E6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66.67%</w:t>
            </w:r>
          </w:p>
        </w:tc>
      </w:tr>
      <w:tr w14:paraId="2620B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1"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6D477F1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5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8D1479">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731F0E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资金投入</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2711D08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预算编制科学性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6B66FE7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17356D1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项目预算编制是否经过科学论证、有明确标准，资金额度与年度目标是否相适应，用以反映和考核项目预算编制的科学性、合理性情况。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CB98EB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科学</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2156E4B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评价要点：①预算编制是否经过科学论证；②预算内容与项目内容是否匹配；③预算额度测算依据是否充分，是否按照标准编制；④预算确定的项目投资额或资金量是否与工作任务相匹配。</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0D4DB1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项目申请书</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7B267B7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对于“预算编制科学性”：①项目预算编制较为准确；②预算内容与项目内容匹配；③预算额度测算依据充分，按照标准编制；④预算确定的项目金额与工作任务相匹配。综上所述，该指标满分3分，得分3分。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5C3F7E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85163A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2CFB7E5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1D865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E8143A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6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F640CF">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DC022A8">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1855D5E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资金分配合理性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688F1D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725027F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项目预算资金分配是否有测算依据，与补助单位或地方实际是否相适应，用以反映和考核项目预算资金分配的科学性、合理性情况。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8F860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合理</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5E10D3F1">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评价要点：①预算资金分配依据是否充分；②资金分配额度是否合理，与项目单位或地方实际是否相适应。</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DF2352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eastAsia="zh-CN"/>
              </w:rPr>
            </w:pPr>
            <w:r>
              <w:rPr>
                <w:rFonts w:hint="default" w:ascii="Times New Roman" w:hAnsi="Times New Roman" w:eastAsia="仿宋_GB2312" w:cs="Times New Roman"/>
                <w:i w:val="0"/>
                <w:iCs w:val="0"/>
                <w:color w:val="000000"/>
                <w:sz w:val="22"/>
                <w:szCs w:val="22"/>
                <w:highlight w:val="none"/>
                <w:u w:val="none"/>
                <w:lang w:val="en-US" w:eastAsia="zh-CN"/>
              </w:rPr>
              <w:t>项目申请书</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1C5340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对于“资金分配合理性”：依据绩效目标申报表可知，项目预算资金分配依据充分，资金分配合理，与克拉玛依市本地实际相适应。</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445D83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7BAAB6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640F60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5A608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27D439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7 </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539B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项目过程（20分）</w:t>
            </w: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D93BFC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资金管理</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5FB4380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资金到位率</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E1F618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1B444F2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实际到位资金与预算资金的比率，用以反映和考核资金落实情况对项目实施的总体保障程度。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CFA9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3817E5B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资金到位率=（实际到位资金/预算资金） × 100%。</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21F4BB9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资金到位文件</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76D378D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 “资金到位率”：依据项目资料查证分析，项 目2024年申请资金214.59万元，实际到位214.59万元，资金到位率为100%。综上所述，该指标满分3分，得分3分。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042A03A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C3D18A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3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39319A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6F4F1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3"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15982C6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8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2D64DB">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4328C4D4">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625C27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预算执行率</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0EDBEDC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56E7874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项目预算资金是否按照计划执行，用以反映或考核项目预算执行情况。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AE2E5E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3071A622">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预算执行率=（实际支出资金/实际到位资金）*100%。预算执行率达100%得满分，执行率＜100%,得分=执行率*权重</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08C97A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支付凭证、项目明细账</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47C9281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sz w:val="22"/>
                <w:szCs w:val="22"/>
                <w:highlight w:val="none"/>
                <w:u w:val="none"/>
                <w:lang w:val="en-US" w:eastAsia="zh-CN" w:bidi="ar"/>
              </w:rPr>
              <w:t>项目2024年实际到位资金214.59万元，截至2024年12月31日，支出214.59万元，预算执行率100%。综上所述，该指标满分3分，得分3分。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24666E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3A3C7E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3</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328F5E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eastAsia"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r>
      <w:tr w14:paraId="2798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1" w:hRule="atLeast"/>
        </w:trPr>
        <w:tc>
          <w:tcPr>
            <w:tcW w:w="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2FF2D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9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CFF612">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FFCAD38">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54E0C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资金使用合规性</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F31E3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A89B7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项目资金使用是否符合相关的财务管理制度规定，用以反映和考核项目资金的规范运行情况。</w:t>
            </w:r>
          </w:p>
        </w:tc>
        <w:tc>
          <w:tcPr>
            <w:tcW w:w="1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F74C1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合规</w:t>
            </w:r>
          </w:p>
        </w:tc>
        <w:tc>
          <w:tcPr>
            <w:tcW w:w="2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24676F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是否符合国家财经法规和财务管理制度以及有关专项资金管理办法的规定；②资金的拨付是否有完整的审批程序和手续；③是否符合项目预算批复或合同规定的用途；④是否存在截留、挤占、挪用、虚列支出等情况。</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BB6D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支付凭证、项目明细账、资金使用办法</w:t>
            </w:r>
          </w:p>
        </w:tc>
        <w:tc>
          <w:tcPr>
            <w:tcW w:w="25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90EEF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经核查，项目资金支付符合财经法规和专项资金管理办法；资金的拨付有完整的审批程序和手续；资金支持方向符合项目预算批复的用途；不存在截留、挤占、挪用、虚列支出等情况。综上所述，该指标满分3分，得分3分。</w:t>
            </w:r>
          </w:p>
        </w:tc>
        <w:tc>
          <w:tcPr>
            <w:tcW w:w="7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E458E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B7AA3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3 </w:t>
            </w:r>
          </w:p>
        </w:tc>
        <w:tc>
          <w:tcPr>
            <w:tcW w:w="10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60D4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r>
      <w:tr w14:paraId="674CB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2" w:hRule="atLeast"/>
        </w:trPr>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183614">
            <w:pPr>
              <w:jc w:val="center"/>
              <w:rPr>
                <w:rFonts w:hint="default" w:ascii="Times New Roman" w:hAnsi="Times New Roman" w:eastAsia="仿宋_GB2312" w:cs="Times New Roman"/>
                <w:i w:val="0"/>
                <w:iCs w:val="0"/>
                <w:color w:val="000000"/>
                <w:sz w:val="22"/>
                <w:szCs w:val="22"/>
                <w:highlight w:val="none"/>
                <w:u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6F235F">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2CAC466">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EAD45BD">
            <w:pPr>
              <w:jc w:val="center"/>
              <w:rPr>
                <w:rFonts w:hint="default" w:ascii="Times New Roman" w:hAnsi="Times New Roman" w:eastAsia="仿宋_GB2312" w:cs="Times New Roman"/>
                <w:i w:val="0"/>
                <w:iCs w:val="0"/>
                <w:color w:val="000000"/>
                <w:sz w:val="22"/>
                <w:szCs w:val="22"/>
                <w:highlight w:val="none"/>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89AD76">
            <w:pPr>
              <w:jc w:val="center"/>
              <w:rPr>
                <w:rFonts w:hint="default" w:ascii="Times New Roman" w:hAnsi="Times New Roman" w:eastAsia="仿宋_GB2312" w:cs="Times New Roman"/>
                <w:i w:val="0"/>
                <w:iCs w:val="0"/>
                <w:color w:val="000000"/>
                <w:sz w:val="22"/>
                <w:szCs w:val="22"/>
                <w:highlight w:val="none"/>
                <w:u w:val="none"/>
              </w:rPr>
            </w:pPr>
          </w:p>
        </w:tc>
        <w:tc>
          <w:tcPr>
            <w:tcW w:w="18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A64306B">
            <w:pPr>
              <w:jc w:val="center"/>
              <w:rPr>
                <w:rFonts w:hint="default" w:ascii="Times New Roman" w:hAnsi="Times New Roman" w:eastAsia="仿宋_GB2312" w:cs="Times New Roman"/>
                <w:i w:val="0"/>
                <w:iCs w:val="0"/>
                <w:color w:val="000000"/>
                <w:sz w:val="22"/>
                <w:szCs w:val="22"/>
                <w:highlight w:val="none"/>
                <w:u w:val="none"/>
              </w:rPr>
            </w:pPr>
          </w:p>
        </w:tc>
        <w:tc>
          <w:tcPr>
            <w:tcW w:w="1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D36859">
            <w:pPr>
              <w:jc w:val="center"/>
              <w:rPr>
                <w:rFonts w:hint="default" w:ascii="Times New Roman" w:hAnsi="Times New Roman" w:eastAsia="仿宋_GB2312" w:cs="Times New Roman"/>
                <w:i w:val="0"/>
                <w:iCs w:val="0"/>
                <w:color w:val="000000"/>
                <w:sz w:val="22"/>
                <w:szCs w:val="22"/>
                <w:highlight w:val="none"/>
                <w:u w:val="none"/>
              </w:rPr>
            </w:pPr>
          </w:p>
        </w:tc>
        <w:tc>
          <w:tcPr>
            <w:tcW w:w="2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8808D0">
            <w:pPr>
              <w:jc w:val="center"/>
              <w:rPr>
                <w:rFonts w:hint="default" w:ascii="Times New Roman" w:hAnsi="Times New Roman" w:eastAsia="仿宋_GB2312" w:cs="Times New Roman"/>
                <w:i w:val="0"/>
                <w:iCs w:val="0"/>
                <w:color w:val="000000"/>
                <w:sz w:val="22"/>
                <w:szCs w:val="22"/>
                <w:highlight w:val="none"/>
                <w:u w:val="none"/>
              </w:rPr>
            </w:pPr>
          </w:p>
        </w:tc>
        <w:tc>
          <w:tcPr>
            <w:tcW w:w="12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096E731">
            <w:pPr>
              <w:jc w:val="center"/>
              <w:rPr>
                <w:rFonts w:hint="default" w:ascii="Times New Roman" w:hAnsi="Times New Roman" w:eastAsia="仿宋_GB2312" w:cs="Times New Roman"/>
                <w:i w:val="0"/>
                <w:iCs w:val="0"/>
                <w:color w:val="000000"/>
                <w:sz w:val="22"/>
                <w:szCs w:val="22"/>
                <w:highlight w:val="none"/>
                <w:u w:val="none"/>
              </w:rPr>
            </w:pPr>
          </w:p>
        </w:tc>
        <w:tc>
          <w:tcPr>
            <w:tcW w:w="25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AC19B4">
            <w:pPr>
              <w:jc w:val="center"/>
              <w:rPr>
                <w:rFonts w:hint="default" w:ascii="Times New Roman" w:hAnsi="Times New Roman" w:eastAsia="仿宋_GB2312" w:cs="Times New Roman"/>
                <w:i w:val="0"/>
                <w:iCs w:val="0"/>
                <w:color w:val="000000"/>
                <w:sz w:val="22"/>
                <w:szCs w:val="22"/>
                <w:highlight w:val="none"/>
                <w:u w:val="none"/>
              </w:rPr>
            </w:pPr>
          </w:p>
        </w:tc>
        <w:tc>
          <w:tcPr>
            <w:tcW w:w="7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553A35">
            <w:pPr>
              <w:jc w:val="center"/>
              <w:rPr>
                <w:rFonts w:hint="default" w:ascii="Times New Roman" w:hAnsi="Times New Roman" w:eastAsia="仿宋_GB2312" w:cs="Times New Roman"/>
                <w:i w:val="0"/>
                <w:iCs w:val="0"/>
                <w:color w:val="000000"/>
                <w:sz w:val="22"/>
                <w:szCs w:val="22"/>
                <w:highlight w:val="none"/>
                <w:u w:val="none"/>
              </w:rPr>
            </w:pPr>
          </w:p>
        </w:tc>
        <w:tc>
          <w:tcPr>
            <w:tcW w:w="7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C07832">
            <w:pPr>
              <w:jc w:val="center"/>
              <w:rPr>
                <w:rFonts w:hint="default" w:ascii="Times New Roman" w:hAnsi="Times New Roman" w:eastAsia="仿宋_GB2312" w:cs="Times New Roman"/>
                <w:i w:val="0"/>
                <w:iCs w:val="0"/>
                <w:color w:val="000000"/>
                <w:sz w:val="22"/>
                <w:szCs w:val="22"/>
                <w:highlight w:val="none"/>
                <w:u w:val="none"/>
              </w:rPr>
            </w:pPr>
          </w:p>
        </w:tc>
        <w:tc>
          <w:tcPr>
            <w:tcW w:w="10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418BE27">
            <w:pPr>
              <w:jc w:val="center"/>
              <w:rPr>
                <w:rFonts w:hint="default" w:ascii="Times New Roman" w:hAnsi="Times New Roman" w:eastAsia="仿宋_GB2312" w:cs="Times New Roman"/>
                <w:i w:val="0"/>
                <w:iCs w:val="0"/>
                <w:color w:val="000000"/>
                <w:sz w:val="22"/>
                <w:szCs w:val="22"/>
                <w:highlight w:val="none"/>
                <w:u w:val="none"/>
              </w:rPr>
            </w:pPr>
          </w:p>
        </w:tc>
      </w:tr>
      <w:tr w14:paraId="53E29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B6396B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10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E8D7B5">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FA0A3E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组织实施</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1CEECB8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管理制度健全性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0220AAD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24661F2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项目实施单位的财务和业务管理制度是否健全，用以反映和考核财务和业务管理制度对项目顺利实施的保障情况。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2C5A70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健全</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067D38B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评价要点：①是否已制定或具有相应的财务和业务管理制度；②财务和业务管理制度是否合法、合规、完整。</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69514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制度汇编、现场踏勘</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6FFA1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对于“管理制度健全性”：经核查，克拉玛依区昆仑路街道办事处已制定相应的财务和业务管理制度；财务和业务管理制度合法、合规、完整。</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综上所述，该指标满分2分，得分2分。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7844C3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6D15AEC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2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4282FB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30F4F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2" w:hRule="atLeast"/>
        </w:trPr>
        <w:tc>
          <w:tcPr>
            <w:tcW w:w="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DA299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11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3C63288">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D290D19">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C74E6B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制度执行有效性</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5E7D1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0053A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项目实施是否符合相关管理规定，用以反映和考核相关管理制度的有效执行情况。</w:t>
            </w:r>
          </w:p>
        </w:tc>
        <w:tc>
          <w:tcPr>
            <w:tcW w:w="1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C9DFA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有效</w:t>
            </w:r>
          </w:p>
        </w:tc>
        <w:tc>
          <w:tcPr>
            <w:tcW w:w="2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E4BCDF7">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评价要点：①是否遵守相关法律法规和相关管理规定；②项目调整及支出调整手续是否完备；③项目合同书、验收报告等资料是否齐全并及时归档；④项目实施的人员条件、场地设备、信息支撑等是否落实到位。</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7E4922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制度汇编、现场踏勘</w:t>
            </w:r>
          </w:p>
        </w:tc>
        <w:tc>
          <w:tcPr>
            <w:tcW w:w="25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380E17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制度执行有效性”：①项目遵守《关于印发〈克拉玛依市国有企业退休人员社会化管理服务暂行办法〉的通知》《关于做好新疆维吾尔自治区国有企业退休人员社会化管理补助资金管理的通知》等法律法规和管理规定；②项目未发生调整情况；③目前仅有项目预算申请书，暂无上级批复文件；④项目活动实施的人员条件、场地设备等均落实到位。综上所述，该指标满分3分，得分3分。</w:t>
            </w:r>
          </w:p>
        </w:tc>
        <w:tc>
          <w:tcPr>
            <w:tcW w:w="7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DD22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37EB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3 </w:t>
            </w:r>
          </w:p>
        </w:tc>
        <w:tc>
          <w:tcPr>
            <w:tcW w:w="10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CA552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r>
      <w:tr w14:paraId="0521B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4" w:hRule="atLeast"/>
        </w:trPr>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3C7B8F">
            <w:pPr>
              <w:jc w:val="center"/>
              <w:rPr>
                <w:rFonts w:hint="default" w:ascii="Times New Roman" w:hAnsi="Times New Roman" w:eastAsia="仿宋_GB2312" w:cs="Times New Roman"/>
                <w:i w:val="0"/>
                <w:iCs w:val="0"/>
                <w:color w:val="000000"/>
                <w:sz w:val="22"/>
                <w:szCs w:val="22"/>
                <w:highlight w:val="none"/>
                <w:u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22C87FA">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53B369C">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4C95E8">
            <w:pPr>
              <w:jc w:val="center"/>
              <w:rPr>
                <w:rFonts w:hint="default" w:ascii="Times New Roman" w:hAnsi="Times New Roman" w:eastAsia="仿宋_GB2312" w:cs="Times New Roman"/>
                <w:i w:val="0"/>
                <w:iCs w:val="0"/>
                <w:color w:val="000000"/>
                <w:sz w:val="22"/>
                <w:szCs w:val="22"/>
                <w:highlight w:val="none"/>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A5AF50">
            <w:pPr>
              <w:jc w:val="center"/>
              <w:rPr>
                <w:rFonts w:hint="default" w:ascii="Times New Roman" w:hAnsi="Times New Roman" w:eastAsia="仿宋_GB2312" w:cs="Times New Roman"/>
                <w:i w:val="0"/>
                <w:iCs w:val="0"/>
                <w:color w:val="000000"/>
                <w:sz w:val="22"/>
                <w:szCs w:val="22"/>
                <w:highlight w:val="none"/>
                <w:u w:val="none"/>
              </w:rPr>
            </w:pPr>
          </w:p>
        </w:tc>
        <w:tc>
          <w:tcPr>
            <w:tcW w:w="18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D1DF70">
            <w:pPr>
              <w:jc w:val="center"/>
              <w:rPr>
                <w:rFonts w:hint="default" w:ascii="Times New Roman" w:hAnsi="Times New Roman" w:eastAsia="仿宋_GB2312" w:cs="Times New Roman"/>
                <w:i w:val="0"/>
                <w:iCs w:val="0"/>
                <w:color w:val="000000"/>
                <w:sz w:val="22"/>
                <w:szCs w:val="22"/>
                <w:highlight w:val="none"/>
                <w:u w:val="none"/>
              </w:rPr>
            </w:pPr>
          </w:p>
        </w:tc>
        <w:tc>
          <w:tcPr>
            <w:tcW w:w="1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F81283A">
            <w:pPr>
              <w:jc w:val="center"/>
              <w:rPr>
                <w:rFonts w:hint="default" w:ascii="Times New Roman" w:hAnsi="Times New Roman" w:eastAsia="仿宋_GB2312" w:cs="Times New Roman"/>
                <w:i w:val="0"/>
                <w:iCs w:val="0"/>
                <w:color w:val="000000"/>
                <w:sz w:val="22"/>
                <w:szCs w:val="22"/>
                <w:highlight w:val="none"/>
                <w:u w:val="none"/>
              </w:rPr>
            </w:pPr>
          </w:p>
        </w:tc>
        <w:tc>
          <w:tcPr>
            <w:tcW w:w="2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3034AE5">
            <w:pPr>
              <w:jc w:val="center"/>
              <w:rPr>
                <w:rFonts w:hint="default" w:ascii="Times New Roman" w:hAnsi="Times New Roman" w:eastAsia="仿宋_GB2312" w:cs="Times New Roman"/>
                <w:i w:val="0"/>
                <w:iCs w:val="0"/>
                <w:color w:val="000000"/>
                <w:sz w:val="22"/>
                <w:szCs w:val="22"/>
                <w:highlight w:val="none"/>
                <w:u w:val="none"/>
              </w:rPr>
            </w:pPr>
          </w:p>
        </w:tc>
        <w:tc>
          <w:tcPr>
            <w:tcW w:w="12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698C93">
            <w:pPr>
              <w:jc w:val="center"/>
              <w:rPr>
                <w:rFonts w:hint="default" w:ascii="Times New Roman" w:hAnsi="Times New Roman" w:eastAsia="仿宋_GB2312" w:cs="Times New Roman"/>
                <w:i w:val="0"/>
                <w:iCs w:val="0"/>
                <w:color w:val="000000"/>
                <w:sz w:val="22"/>
                <w:szCs w:val="22"/>
                <w:highlight w:val="none"/>
                <w:u w:val="none"/>
              </w:rPr>
            </w:pPr>
          </w:p>
        </w:tc>
        <w:tc>
          <w:tcPr>
            <w:tcW w:w="25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56E275">
            <w:pPr>
              <w:jc w:val="center"/>
              <w:rPr>
                <w:rFonts w:hint="default" w:ascii="Times New Roman" w:hAnsi="Times New Roman" w:eastAsia="仿宋_GB2312" w:cs="Times New Roman"/>
                <w:i w:val="0"/>
                <w:iCs w:val="0"/>
                <w:color w:val="000000"/>
                <w:sz w:val="22"/>
                <w:szCs w:val="22"/>
                <w:highlight w:val="none"/>
                <w:u w:val="none"/>
              </w:rPr>
            </w:pPr>
          </w:p>
        </w:tc>
        <w:tc>
          <w:tcPr>
            <w:tcW w:w="7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BE0AA9">
            <w:pPr>
              <w:jc w:val="center"/>
              <w:rPr>
                <w:rFonts w:hint="default" w:ascii="Times New Roman" w:hAnsi="Times New Roman" w:eastAsia="仿宋_GB2312" w:cs="Times New Roman"/>
                <w:i w:val="0"/>
                <w:iCs w:val="0"/>
                <w:color w:val="000000"/>
                <w:sz w:val="22"/>
                <w:szCs w:val="22"/>
                <w:highlight w:val="none"/>
                <w:u w:val="none"/>
              </w:rPr>
            </w:pPr>
          </w:p>
        </w:tc>
        <w:tc>
          <w:tcPr>
            <w:tcW w:w="7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4F32AA">
            <w:pPr>
              <w:jc w:val="center"/>
              <w:rPr>
                <w:rFonts w:hint="default" w:ascii="Times New Roman" w:hAnsi="Times New Roman" w:eastAsia="仿宋_GB2312" w:cs="Times New Roman"/>
                <w:i w:val="0"/>
                <w:iCs w:val="0"/>
                <w:color w:val="000000"/>
                <w:sz w:val="22"/>
                <w:szCs w:val="22"/>
                <w:highlight w:val="none"/>
                <w:u w:val="none"/>
              </w:rPr>
            </w:pPr>
          </w:p>
        </w:tc>
        <w:tc>
          <w:tcPr>
            <w:tcW w:w="10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86FE30">
            <w:pPr>
              <w:jc w:val="center"/>
              <w:rPr>
                <w:rFonts w:hint="default" w:ascii="Times New Roman" w:hAnsi="Times New Roman" w:eastAsia="仿宋_GB2312" w:cs="Times New Roman"/>
                <w:i w:val="0"/>
                <w:iCs w:val="0"/>
                <w:color w:val="000000"/>
                <w:sz w:val="22"/>
                <w:szCs w:val="22"/>
                <w:highlight w:val="none"/>
                <w:u w:val="none"/>
              </w:rPr>
            </w:pPr>
          </w:p>
        </w:tc>
      </w:tr>
      <w:tr w14:paraId="6435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F9C74E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12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2313A4F">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7F14E818">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0A2732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项目质量可控性</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4EEFE08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358D7F0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项目实施单位是否为达到项目质量要求而采取了必需的措施，用以反映和考核项目实施单位对项目质量的控制情况。</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0558EF6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可控</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782F740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评价要点：①质控措施是否落实，责任主体是否明确；②抽查区域内质控工作相关档案是否齐全、规范</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4147B2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相关合同、现场踏勘</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27E441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对于“项目质量可控性”：经核查，质控措施落实，责任主体明确，项目活动相关合同明确质量要求，相关方均按要求履约。综上所述，该指标满分3分，得分3分。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AC14D6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B8E03D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3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4C55D98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6929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9"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122A5D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13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51D63F">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C9FD5CF">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7A036B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自评及整改</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3581C4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3</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0053861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是否开展项目自评；项目开始时间至项目完成时间内有关检查反馈的问题是否及时整改。</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3411DF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规范</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51A590AB">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评价要点：①自评按时完成；②自评质量情况；③项目开始时间至项目完成时间内未发现相关问题；④发现问题是否及时整改.</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7916F39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项目自评表</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0D1324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对于“自评及整改”：经核查，克拉玛依区昆仑路街道办已按照预算绩效管理要求按时完成项目自评工作，综上所述，该指标满分3分，扣</w:t>
            </w:r>
            <w:r>
              <w:rPr>
                <w:rFonts w:hint="eastAsia" w:ascii="Times New Roman" w:hAnsi="Times New Roman" w:cs="Times New Roman"/>
                <w:i w:val="0"/>
                <w:iCs w:val="0"/>
                <w:snapToGrid w:val="0"/>
                <w:color w:val="000000"/>
                <w:kern w:val="0"/>
                <w:sz w:val="22"/>
                <w:szCs w:val="22"/>
                <w:highlight w:val="none"/>
                <w:u w:val="none"/>
                <w:lang w:val="en-US" w:eastAsia="zh-CN" w:bidi="ar"/>
              </w:rPr>
              <w:t>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分，得分</w:t>
            </w:r>
            <w:r>
              <w:rPr>
                <w:rFonts w:hint="eastAsia" w:ascii="Times New Roman" w:hAnsi="Times New Roman" w:cs="Times New Roman"/>
                <w:i w:val="0"/>
                <w:iCs w:val="0"/>
                <w:snapToGrid w:val="0"/>
                <w:color w:val="000000"/>
                <w:kern w:val="0"/>
                <w:sz w:val="22"/>
                <w:szCs w:val="22"/>
                <w:highlight w:val="none"/>
                <w:u w:val="none"/>
                <w:lang w:val="en-US" w:eastAsia="zh-CN" w:bidi="ar"/>
              </w:rPr>
              <w:t>3</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2EEDF8C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F92007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3</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7128C21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eastAsia"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r>
      <w:tr w14:paraId="1A0F4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35"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F6DEB0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14 </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1A37E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项目产出（40分）</w:t>
            </w: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EDA7FE3">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数量指标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5C6EEE20">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覆盖退休站数量</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7D5CE1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5EF9F10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项目实施的实际产出数与计划产出数的比率，用以反映和考核项目产出数量目标的实现程度。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28BD367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7个</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73C5921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实际完成率=（实际产出数/计划产出数） × 100%。实际产出数：一定时期（本年度或项目期）内项目实际产出的产品或提供的服务数量。计划产出数：项目绩效目标确定的在一定时期（本年度或项目期）内计划产出的产品或提供的服务数量。</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6C026E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4003790A">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对于“覆盖退休站数量”：预期目标值为7座，实际覆盖</w:t>
            </w:r>
            <w:r>
              <w:rPr>
                <w:rFonts w:hint="default" w:ascii="Times New Roman" w:hAnsi="Times New Roman" w:cs="Times New Roman"/>
                <w:i w:val="0"/>
                <w:iCs w:val="0"/>
                <w:snapToGrid w:val="0"/>
                <w:color w:val="000000"/>
                <w:kern w:val="0"/>
                <w:sz w:val="22"/>
                <w:szCs w:val="22"/>
                <w:highlight w:val="none"/>
                <w:u w:val="none"/>
                <w:lang w:val="en-US" w:eastAsia="zh-CN" w:bidi="ar"/>
              </w:rPr>
              <w:t>7</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座，指标完成率</w:t>
            </w:r>
            <w:r>
              <w:rPr>
                <w:rFonts w:hint="default"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%，综上所述，该指标满分7分，得分</w:t>
            </w:r>
            <w:r>
              <w:rPr>
                <w:rFonts w:hint="default" w:ascii="Times New Roman" w:hAnsi="Times New Roman" w:cs="Times New Roman"/>
                <w:i w:val="0"/>
                <w:iCs w:val="0"/>
                <w:snapToGrid w:val="0"/>
                <w:color w:val="000000"/>
                <w:kern w:val="0"/>
                <w:sz w:val="22"/>
                <w:szCs w:val="22"/>
                <w:highlight w:val="none"/>
                <w:u w:val="none"/>
                <w:lang w:val="en-US" w:eastAsia="zh-CN" w:bidi="ar"/>
              </w:rPr>
              <w:t>7</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D5C5A7A">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2385766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7</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1A3AB1CB">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r>
      <w:tr w14:paraId="2A0BC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1" w:hRule="atLeast"/>
        </w:trPr>
        <w:tc>
          <w:tcPr>
            <w:tcW w:w="6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8A582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15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983782">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4F040805">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4A7E93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覆盖企业退休人员数量</w:t>
            </w:r>
          </w:p>
        </w:tc>
        <w:tc>
          <w:tcPr>
            <w:tcW w:w="5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9A1E1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8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2B8617">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0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00A669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≥9000人</w:t>
            </w:r>
          </w:p>
        </w:tc>
        <w:tc>
          <w:tcPr>
            <w:tcW w:w="27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1B574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实际完成率=（实际产出数/计划产出数）× 100%。实际产出数：一定时期（本年度或项目期）内项目实际产出的产品或提供的服务数量。计划产出数：项目绩效目标确定的在一定时期（本年度或项目期）内计划产出的产品或提供的服务数量。</w:t>
            </w:r>
          </w:p>
        </w:tc>
        <w:tc>
          <w:tcPr>
            <w:tcW w:w="12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4C31A7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w:t>
            </w:r>
          </w:p>
        </w:tc>
        <w:tc>
          <w:tcPr>
            <w:tcW w:w="25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AEE3A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对于“覆盖企业退休人员”：预期目标值≥9000人，实际完成值9101人，指标完成率100%，综上所述，该指标满分7分，得分7分。</w:t>
            </w:r>
          </w:p>
        </w:tc>
        <w:tc>
          <w:tcPr>
            <w:tcW w:w="78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3E4E0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w:t>
            </w:r>
          </w:p>
        </w:tc>
        <w:tc>
          <w:tcPr>
            <w:tcW w:w="7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AF0C4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0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C3A64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5B57C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1" w:hRule="atLeast"/>
        </w:trPr>
        <w:tc>
          <w:tcPr>
            <w:tcW w:w="6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60EE6AD">
            <w:pPr>
              <w:jc w:val="center"/>
              <w:rPr>
                <w:rFonts w:hint="default" w:ascii="Times New Roman" w:hAnsi="Times New Roman" w:eastAsia="仿宋_GB2312" w:cs="Times New Roman"/>
                <w:i w:val="0"/>
                <w:iCs w:val="0"/>
                <w:color w:val="000000"/>
                <w:sz w:val="22"/>
                <w:szCs w:val="22"/>
                <w:highlight w:val="none"/>
                <w:u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915BF1">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2B473DE">
            <w:pPr>
              <w:jc w:val="center"/>
              <w:rPr>
                <w:rFonts w:hint="default" w:ascii="Times New Roman" w:hAnsi="Times New Roman" w:eastAsia="仿宋_GB2312" w:cs="Times New Roman"/>
                <w:i w:val="0"/>
                <w:iCs w:val="0"/>
                <w:color w:val="000000"/>
                <w:sz w:val="22"/>
                <w:szCs w:val="22"/>
                <w:highlight w:val="none"/>
                <w:u w:val="none"/>
              </w:rPr>
            </w:pPr>
          </w:p>
        </w:tc>
        <w:tc>
          <w:tcPr>
            <w:tcW w:w="123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101BCD">
            <w:pPr>
              <w:jc w:val="center"/>
              <w:rPr>
                <w:rFonts w:hint="default" w:ascii="Times New Roman" w:hAnsi="Times New Roman" w:eastAsia="仿宋_GB2312" w:cs="Times New Roman"/>
                <w:i w:val="0"/>
                <w:iCs w:val="0"/>
                <w:color w:val="000000"/>
                <w:sz w:val="22"/>
                <w:szCs w:val="22"/>
                <w:highlight w:val="none"/>
                <w:u w:val="none"/>
              </w:rPr>
            </w:pPr>
          </w:p>
        </w:tc>
        <w:tc>
          <w:tcPr>
            <w:tcW w:w="5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B90174">
            <w:pPr>
              <w:jc w:val="center"/>
              <w:rPr>
                <w:rFonts w:hint="default" w:ascii="Times New Roman" w:hAnsi="Times New Roman" w:eastAsia="仿宋_GB2312" w:cs="Times New Roman"/>
                <w:i w:val="0"/>
                <w:iCs w:val="0"/>
                <w:color w:val="000000"/>
                <w:sz w:val="22"/>
                <w:szCs w:val="22"/>
                <w:highlight w:val="none"/>
                <w:u w:val="none"/>
              </w:rPr>
            </w:pPr>
          </w:p>
        </w:tc>
        <w:tc>
          <w:tcPr>
            <w:tcW w:w="18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5739FA">
            <w:pPr>
              <w:jc w:val="center"/>
              <w:rPr>
                <w:rFonts w:hint="default" w:ascii="Times New Roman" w:hAnsi="Times New Roman" w:eastAsia="仿宋_GB2312" w:cs="Times New Roman"/>
                <w:i w:val="0"/>
                <w:iCs w:val="0"/>
                <w:color w:val="000000"/>
                <w:sz w:val="22"/>
                <w:szCs w:val="22"/>
                <w:highlight w:val="none"/>
                <w:u w:val="none"/>
              </w:rPr>
            </w:pPr>
          </w:p>
        </w:tc>
        <w:tc>
          <w:tcPr>
            <w:tcW w:w="100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0705A4">
            <w:pPr>
              <w:jc w:val="center"/>
              <w:rPr>
                <w:rFonts w:hint="default" w:ascii="Times New Roman" w:hAnsi="Times New Roman" w:eastAsia="仿宋_GB2312" w:cs="Times New Roman"/>
                <w:i w:val="0"/>
                <w:iCs w:val="0"/>
                <w:color w:val="000000"/>
                <w:sz w:val="22"/>
                <w:szCs w:val="22"/>
                <w:highlight w:val="none"/>
                <w:u w:val="none"/>
              </w:rPr>
            </w:pPr>
          </w:p>
        </w:tc>
        <w:tc>
          <w:tcPr>
            <w:tcW w:w="27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F967BB">
            <w:pPr>
              <w:jc w:val="center"/>
              <w:rPr>
                <w:rFonts w:hint="default" w:ascii="Times New Roman" w:hAnsi="Times New Roman" w:eastAsia="仿宋_GB2312" w:cs="Times New Roman"/>
                <w:i w:val="0"/>
                <w:iCs w:val="0"/>
                <w:color w:val="000000"/>
                <w:sz w:val="22"/>
                <w:szCs w:val="22"/>
                <w:highlight w:val="none"/>
                <w:u w:val="none"/>
              </w:rPr>
            </w:pPr>
          </w:p>
        </w:tc>
        <w:tc>
          <w:tcPr>
            <w:tcW w:w="12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914168D">
            <w:pPr>
              <w:jc w:val="center"/>
              <w:rPr>
                <w:rFonts w:hint="default" w:ascii="Times New Roman" w:hAnsi="Times New Roman" w:eastAsia="仿宋_GB2312" w:cs="Times New Roman"/>
                <w:i w:val="0"/>
                <w:iCs w:val="0"/>
                <w:color w:val="000000"/>
                <w:sz w:val="22"/>
                <w:szCs w:val="22"/>
                <w:highlight w:val="none"/>
                <w:u w:val="none"/>
              </w:rPr>
            </w:pPr>
          </w:p>
        </w:tc>
        <w:tc>
          <w:tcPr>
            <w:tcW w:w="25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C2D6DF">
            <w:pPr>
              <w:jc w:val="center"/>
              <w:rPr>
                <w:rFonts w:hint="default" w:ascii="Times New Roman" w:hAnsi="Times New Roman" w:eastAsia="仿宋_GB2312" w:cs="Times New Roman"/>
                <w:i w:val="0"/>
                <w:iCs w:val="0"/>
                <w:color w:val="000000"/>
                <w:sz w:val="22"/>
                <w:szCs w:val="22"/>
                <w:highlight w:val="none"/>
                <w:u w:val="none"/>
              </w:rPr>
            </w:pPr>
          </w:p>
        </w:tc>
        <w:tc>
          <w:tcPr>
            <w:tcW w:w="78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F4A946F">
            <w:pPr>
              <w:jc w:val="center"/>
              <w:rPr>
                <w:rFonts w:hint="default" w:ascii="Times New Roman" w:hAnsi="Times New Roman" w:eastAsia="仿宋_GB2312" w:cs="Times New Roman"/>
                <w:i w:val="0"/>
                <w:iCs w:val="0"/>
                <w:color w:val="000000"/>
                <w:sz w:val="22"/>
                <w:szCs w:val="22"/>
                <w:highlight w:val="none"/>
                <w:u w:val="none"/>
              </w:rPr>
            </w:pPr>
          </w:p>
        </w:tc>
        <w:tc>
          <w:tcPr>
            <w:tcW w:w="7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493B799">
            <w:pPr>
              <w:jc w:val="center"/>
              <w:rPr>
                <w:rFonts w:hint="default" w:ascii="Times New Roman" w:hAnsi="Times New Roman" w:eastAsia="仿宋_GB2312" w:cs="Times New Roman"/>
                <w:i w:val="0"/>
                <w:iCs w:val="0"/>
                <w:color w:val="000000"/>
                <w:sz w:val="22"/>
                <w:szCs w:val="22"/>
                <w:highlight w:val="none"/>
                <w:u w:val="none"/>
              </w:rPr>
            </w:pPr>
          </w:p>
        </w:tc>
        <w:tc>
          <w:tcPr>
            <w:tcW w:w="105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C77F0C">
            <w:pPr>
              <w:jc w:val="center"/>
              <w:rPr>
                <w:rFonts w:hint="default" w:ascii="Times New Roman" w:hAnsi="Times New Roman" w:eastAsia="仿宋_GB2312" w:cs="Times New Roman"/>
                <w:i w:val="0"/>
                <w:iCs w:val="0"/>
                <w:color w:val="000000"/>
                <w:sz w:val="22"/>
                <w:szCs w:val="22"/>
                <w:highlight w:val="none"/>
                <w:u w:val="none"/>
              </w:rPr>
            </w:pPr>
          </w:p>
        </w:tc>
      </w:tr>
      <w:tr w14:paraId="6E3D1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1"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4A44CB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16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6E4EA5A">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1B51B98E">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64A10FC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支持保安保洁人员工资次数</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04A725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1076336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DA65F2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12次</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55978E93">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实际完成率=（实际产出数/计划产出数）× 100%。实际产出数：一定时期（本年度或项目期）内项目实际产出的产品或提供的服务数量。计划产出数：项目绩效目标确定的在一定时期（本年度或项目期）内计划产出的产品或提供的服务数量。</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307796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项目资料、项目明细账、支付凭证</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144BB01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对于“支持保安保洁人员工资次数”：预期目标值</w:t>
            </w:r>
            <w:r>
              <w:rPr>
                <w:rFonts w:hint="eastAsia" w:ascii="Times New Roman" w:hAnsi="Times New Roman" w:cs="Times New Roman"/>
                <w:i w:val="0"/>
                <w:iCs w:val="0"/>
                <w:snapToGrid w:val="0"/>
                <w:color w:val="000000"/>
                <w:kern w:val="0"/>
                <w:sz w:val="22"/>
                <w:szCs w:val="22"/>
                <w:highlight w:val="none"/>
                <w:u w:val="none"/>
                <w:lang w:val="en-US" w:eastAsia="zh-CN" w:bidi="ar"/>
              </w:rPr>
              <w:t>≤</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12次，实际完成值9次，综上所述，该指标满分7分，扣</w:t>
            </w:r>
            <w:r>
              <w:rPr>
                <w:rFonts w:hint="eastAsia" w:ascii="Times New Roman" w:hAnsi="Times New Roman" w:cs="Times New Roman"/>
                <w:i w:val="0"/>
                <w:iCs w:val="0"/>
                <w:snapToGrid w:val="0"/>
                <w:color w:val="000000"/>
                <w:kern w:val="0"/>
                <w:sz w:val="22"/>
                <w:szCs w:val="22"/>
                <w:highlight w:val="none"/>
                <w:u w:val="none"/>
                <w:lang w:val="en-US" w:eastAsia="zh-CN" w:bidi="ar"/>
              </w:rPr>
              <w:t>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分，得分</w:t>
            </w:r>
            <w:r>
              <w:rPr>
                <w:rFonts w:hint="eastAsia" w:ascii="Times New Roman" w:hAnsi="Times New Roman" w:cs="Times New Roman"/>
                <w:i w:val="0"/>
                <w:iCs w:val="0"/>
                <w:snapToGrid w:val="0"/>
                <w:color w:val="000000"/>
                <w:kern w:val="0"/>
                <w:sz w:val="22"/>
                <w:szCs w:val="22"/>
                <w:highlight w:val="none"/>
                <w:u w:val="none"/>
                <w:lang w:val="en-US" w:eastAsia="zh-CN" w:bidi="ar"/>
              </w:rPr>
              <w:t>7</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15859D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0581B31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7</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78F365E3">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.00%</w:t>
            </w:r>
          </w:p>
        </w:tc>
      </w:tr>
      <w:tr w14:paraId="5E062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8"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AA050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17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8E4612">
            <w:pPr>
              <w:jc w:val="center"/>
              <w:rPr>
                <w:rFonts w:hint="default" w:ascii="Times New Roman" w:hAnsi="Times New Roman" w:eastAsia="仿宋_GB2312" w:cs="Times New Roman"/>
                <w:i w:val="0"/>
                <w:iCs w:val="0"/>
                <w:color w:val="000000"/>
                <w:sz w:val="22"/>
                <w:szCs w:val="22"/>
                <w:highlight w:val="none"/>
                <w:u w:val="none"/>
              </w:rPr>
            </w:pPr>
          </w:p>
        </w:tc>
        <w:tc>
          <w:tcPr>
            <w:tcW w:w="578"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5510F49F">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质量指标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0D8F760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保障老年活动中心正常运转率</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531232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317C700B">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项目完成的质量达标产出数与实际产出数的比率，用以反映和考核项目产出质量目标的实现程度。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0A3EE1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≥85%</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452C6ED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质量达标率=（质量达标产出数/ 实际产出数） × 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质量达标产出数：一定时期（本年度或项目期）内实际达到既定质量标准的产品或服务数量。既定质量标准是指项目实施单位设立绩效目标时依据计划标准、行业标准、历史标准或其他标准而设定的绩效指标值。</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3873AC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79E77187">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对于“保障老年活动中心正常运转率”：预期指标值85%，实际完成值85%，指标完成率100%，综上所述，该指标满分7分，得分7分。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3E15F26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39C52BC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7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74081E4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678F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2"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2197A42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18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145C07">
            <w:pPr>
              <w:jc w:val="center"/>
              <w:rPr>
                <w:rFonts w:hint="default" w:ascii="Times New Roman" w:hAnsi="Times New Roman" w:eastAsia="仿宋_GB2312" w:cs="Times New Roman"/>
                <w:i w:val="0"/>
                <w:iCs w:val="0"/>
                <w:color w:val="000000"/>
                <w:sz w:val="22"/>
                <w:szCs w:val="22"/>
                <w:highlight w:val="none"/>
                <w:u w:val="none"/>
              </w:rPr>
            </w:pPr>
          </w:p>
        </w:tc>
        <w:tc>
          <w:tcPr>
            <w:tcW w:w="578"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660B3089">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时效指标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3981971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经费支付及时率</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7DAB541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5B600A9F">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项目经费及时支付的次数占总支付次数的比率，反映经费支付的及时程度。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191A61BE">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≥90%</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00F7D70D">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支付及时率=（按时支付次数/ 总支付次数） × 100%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按时支付次数：项目期间内按照合同约定时间完成支付的次数。</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D6597FB">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相关合同、支付凭证、项目明细账</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52E6A942">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对于“经费支付及时率”：预期指标值90%，实际完成值90%，指标完成率100%，综上所述，该指标满分7分，得分7分。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5533F1A8">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A145D3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7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795F410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3FFB7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7"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0A40A0B9">
            <w:pPr>
              <w:jc w:val="center"/>
              <w:rPr>
                <w:rFonts w:hint="default" w:ascii="Times New Roman" w:hAnsi="Times New Roman" w:eastAsia="仿宋_GB2312" w:cs="Times New Roman"/>
                <w:i w:val="0"/>
                <w:iCs w:val="0"/>
                <w:color w:val="000000"/>
                <w:sz w:val="22"/>
                <w:szCs w:val="22"/>
                <w:highlight w:val="none"/>
                <w:u w:val="none"/>
              </w:rPr>
            </w:pP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9AE33A">
            <w:pPr>
              <w:jc w:val="center"/>
              <w:rPr>
                <w:rFonts w:hint="default" w:ascii="Times New Roman" w:hAnsi="Times New Roman" w:eastAsia="仿宋_GB2312" w:cs="Times New Roman"/>
                <w:i w:val="0"/>
                <w:iCs w:val="0"/>
                <w:color w:val="000000"/>
                <w:sz w:val="22"/>
                <w:szCs w:val="22"/>
                <w:highlight w:val="none"/>
                <w:u w:val="none"/>
              </w:rPr>
            </w:pPr>
          </w:p>
        </w:tc>
        <w:tc>
          <w:tcPr>
            <w:tcW w:w="578" w:type="dxa"/>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0A1E3928">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成本指标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01E6C7D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支持保安保洁费用</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2031E6F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5</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3BF5F80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完成项目计划工作目标的实际节约成本与计划成本的比率，用以反映和考核项目的成本节约程度。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AA9E40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≤47.8万元</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630EC8F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成本节约率=[（计划成本-实际成本）/计划成本]×100%。实际成本：项目实施单位如期、保质、保量完成既定工作目标实际所耗费的支出。</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计划成本：项目实施单位为完成工作目标计划安排的支出，一般以项目预算为参考。</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322975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项目资料、相关合同</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69CB1977">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对于“支持保安保洁费用”：预期指标值≤47.8万元，实际完成值35.85万元，指标完成率100%，综上所述，该指标满分5分，得分5分。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4E5B4C4">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47A01D7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5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3CEEFC0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0A996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3"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5B48EA5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19 </w:t>
            </w:r>
          </w:p>
        </w:tc>
        <w:tc>
          <w:tcPr>
            <w:tcW w:w="66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C84398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效益</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（20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br w:type="textWrapping"/>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分）</w:t>
            </w:r>
          </w:p>
        </w:tc>
        <w:tc>
          <w:tcPr>
            <w:tcW w:w="578" w:type="dxa"/>
            <w:vMerge w:val="restart"/>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2E39BB70">
            <w:pPr>
              <w:keepNext w:val="0"/>
              <w:keepLines w:val="0"/>
              <w:widowControl/>
              <w:suppressLineNumbers w:val="0"/>
              <w:spacing w:line="240" w:lineRule="auto"/>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社会效益指标</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5DF682CC">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服务对象满意度</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31FE7A0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1D7D2589">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项目实施后参与人员对项目活动的满意程度</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4FB7A88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≥85%</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4E482946">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项目实施所产生的覆盖范围、社会效益、经济效益、生态效益、可持续影响等。可根据项目实际情况有选择地设置和细化。</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665CCC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调查问卷</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598DB14">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满意度是指项目受益人群对项目效果的满意程度，具体为“服务对象满意度”，预期指标值≥85%，实际完成值85%，指标完成率100%，该指标满分10分，实际得分10分。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6AAFEDF9">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0</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5CC3B34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10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3B1F1775">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7E29F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center"/>
          </w:tcPr>
          <w:p w14:paraId="7BBF3617">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20 </w:t>
            </w:r>
          </w:p>
        </w:tc>
        <w:tc>
          <w:tcPr>
            <w:tcW w:w="66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2A48DD3">
            <w:pPr>
              <w:jc w:val="center"/>
              <w:rPr>
                <w:rFonts w:hint="default" w:ascii="Times New Roman" w:hAnsi="Times New Roman" w:eastAsia="仿宋_GB2312" w:cs="Times New Roman"/>
                <w:i w:val="0"/>
                <w:iCs w:val="0"/>
                <w:color w:val="000000"/>
                <w:sz w:val="22"/>
                <w:szCs w:val="22"/>
                <w:highlight w:val="none"/>
                <w:u w:val="none"/>
              </w:rPr>
            </w:pPr>
          </w:p>
        </w:tc>
        <w:tc>
          <w:tcPr>
            <w:tcW w:w="578" w:type="dxa"/>
            <w:vMerge w:val="continue"/>
            <w:tcBorders>
              <w:top w:val="single" w:color="auto" w:sz="4" w:space="0"/>
              <w:left w:val="single" w:color="auto" w:sz="4" w:space="0"/>
              <w:bottom w:val="single" w:color="auto" w:sz="4" w:space="0"/>
              <w:right w:val="single" w:color="auto" w:sz="4" w:space="0"/>
            </w:tcBorders>
            <w:shd w:val="clear" w:color="auto" w:fill="auto"/>
            <w:textDirection w:val="tbRlV"/>
            <w:vAlign w:val="center"/>
          </w:tcPr>
          <w:p w14:paraId="37E97432">
            <w:pPr>
              <w:jc w:val="center"/>
              <w:rPr>
                <w:rFonts w:hint="default" w:ascii="Times New Roman" w:hAnsi="Times New Roman" w:eastAsia="仿宋_GB2312" w:cs="Times New Roman"/>
                <w:i w:val="0"/>
                <w:iCs w:val="0"/>
                <w:color w:val="000000"/>
                <w:sz w:val="22"/>
                <w:szCs w:val="22"/>
                <w:highlight w:val="none"/>
                <w:u w:val="none"/>
              </w:rPr>
            </w:pP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41B5F158">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项目受益人数</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2F3CD48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7BE27AB2">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项目实施后因项目而受益的人数</w:t>
            </w: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5351A991">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≥700人</w:t>
            </w: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388D481E">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项目实施所产生的覆盖范围、社会效益、经济效益、生态效益、可持续影响等。可根据项目实际情况有选择地设置和细化。</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7970DB4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项目资料</w:t>
            </w: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37F19D85">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效益类指标是从社会效益指标对项目实施进行考察，具体为“项目受益人数”，预期指标值为≥700人，实际完成值为700人，指标完成率100%，该指标满分10分，实际得分10分。</w:t>
            </w: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29BA022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0 </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7F661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 xml:space="preserve">10 </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89780A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100.00%</w:t>
            </w:r>
          </w:p>
        </w:tc>
      </w:tr>
      <w:tr w14:paraId="2AE2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 w:hRule="atLeast"/>
        </w:trPr>
        <w:tc>
          <w:tcPr>
            <w:tcW w:w="660" w:type="dxa"/>
            <w:tcBorders>
              <w:top w:val="single" w:color="auto" w:sz="4" w:space="0"/>
              <w:left w:val="single" w:color="auto" w:sz="4" w:space="0"/>
              <w:bottom w:val="single" w:color="auto" w:sz="4" w:space="0"/>
              <w:right w:val="single" w:color="auto" w:sz="4" w:space="0"/>
            </w:tcBorders>
            <w:shd w:val="clear" w:color="auto" w:fill="auto"/>
            <w:vAlign w:val="top"/>
          </w:tcPr>
          <w:p w14:paraId="147082C8">
            <w:pPr>
              <w:jc w:val="left"/>
              <w:rPr>
                <w:rFonts w:hint="default" w:ascii="Times New Roman" w:hAnsi="Times New Roman" w:eastAsia="仿宋_GB2312" w:cs="Times New Roman"/>
                <w:i w:val="0"/>
                <w:iCs w:val="0"/>
                <w:color w:val="000000"/>
                <w:sz w:val="22"/>
                <w:szCs w:val="22"/>
                <w:highlight w:val="none"/>
                <w:u w:val="none"/>
                <w:lang w:val="en-US" w:eastAsia="zh-CN"/>
              </w:rPr>
            </w:pPr>
            <w:r>
              <w:rPr>
                <w:rFonts w:hint="default" w:ascii="Times New Roman" w:hAnsi="Times New Roman" w:eastAsia="仿宋_GB2312" w:cs="Times New Roman"/>
                <w:i w:val="0"/>
                <w:iCs w:val="0"/>
                <w:color w:val="000000"/>
                <w:sz w:val="22"/>
                <w:szCs w:val="22"/>
                <w:highlight w:val="none"/>
                <w:u w:val="none"/>
                <w:lang w:val="en-US" w:eastAsia="zh-CN"/>
              </w:rPr>
              <w:t>/</w:t>
            </w:r>
          </w:p>
        </w:tc>
        <w:tc>
          <w:tcPr>
            <w:tcW w:w="666" w:type="dxa"/>
            <w:tcBorders>
              <w:top w:val="single" w:color="auto" w:sz="4" w:space="0"/>
              <w:left w:val="single" w:color="auto" w:sz="4" w:space="0"/>
              <w:bottom w:val="single" w:color="auto" w:sz="4" w:space="0"/>
              <w:right w:val="single" w:color="auto" w:sz="4" w:space="0"/>
            </w:tcBorders>
            <w:shd w:val="clear" w:color="auto" w:fill="auto"/>
            <w:vAlign w:val="center"/>
          </w:tcPr>
          <w:p w14:paraId="6753371D">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eastAsia="zh-CN"/>
              </w:rPr>
            </w:pPr>
            <w:r>
              <w:rPr>
                <w:rFonts w:hint="default" w:ascii="Times New Roman" w:hAnsi="Times New Roman" w:eastAsia="仿宋_GB2312" w:cs="Times New Roman"/>
                <w:i w:val="0"/>
                <w:iCs w:val="0"/>
                <w:color w:val="000000"/>
                <w:sz w:val="22"/>
                <w:szCs w:val="22"/>
                <w:highlight w:val="none"/>
                <w:u w:val="none"/>
                <w:lang w:val="en-US" w:eastAsia="zh-CN"/>
              </w:rPr>
              <w:t>合计</w:t>
            </w:r>
          </w:p>
        </w:tc>
        <w:tc>
          <w:tcPr>
            <w:tcW w:w="578" w:type="dxa"/>
            <w:tcBorders>
              <w:top w:val="single" w:color="auto" w:sz="4" w:space="0"/>
              <w:left w:val="single" w:color="auto" w:sz="4" w:space="0"/>
              <w:bottom w:val="single" w:color="auto" w:sz="4" w:space="0"/>
              <w:right w:val="single" w:color="auto" w:sz="4" w:space="0"/>
            </w:tcBorders>
            <w:shd w:val="clear" w:color="auto" w:fill="auto"/>
            <w:vAlign w:val="center"/>
          </w:tcPr>
          <w:p w14:paraId="256E0BCC">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c>
          <w:tcPr>
            <w:tcW w:w="1234" w:type="dxa"/>
            <w:tcBorders>
              <w:top w:val="single" w:color="auto" w:sz="4" w:space="0"/>
              <w:left w:val="single" w:color="auto" w:sz="4" w:space="0"/>
              <w:bottom w:val="single" w:color="auto" w:sz="4" w:space="0"/>
              <w:right w:val="single" w:color="auto" w:sz="4" w:space="0"/>
            </w:tcBorders>
            <w:shd w:val="clear" w:color="auto" w:fill="auto"/>
            <w:vAlign w:val="center"/>
          </w:tcPr>
          <w:p w14:paraId="3237BEE1">
            <w:pPr>
              <w:keepNext w:val="0"/>
              <w:keepLines w:val="0"/>
              <w:widowControl/>
              <w:suppressLineNumbers w:val="0"/>
              <w:jc w:val="left"/>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c>
          <w:tcPr>
            <w:tcW w:w="586" w:type="dxa"/>
            <w:tcBorders>
              <w:top w:val="single" w:color="auto" w:sz="4" w:space="0"/>
              <w:left w:val="single" w:color="auto" w:sz="4" w:space="0"/>
              <w:bottom w:val="single" w:color="auto" w:sz="4" w:space="0"/>
              <w:right w:val="single" w:color="auto" w:sz="4" w:space="0"/>
            </w:tcBorders>
            <w:shd w:val="clear" w:color="auto" w:fill="auto"/>
            <w:vAlign w:val="center"/>
          </w:tcPr>
          <w:p w14:paraId="198C2836">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100</w:t>
            </w:r>
          </w:p>
        </w:tc>
        <w:tc>
          <w:tcPr>
            <w:tcW w:w="1885" w:type="dxa"/>
            <w:tcBorders>
              <w:top w:val="single" w:color="auto" w:sz="4" w:space="0"/>
              <w:left w:val="single" w:color="auto" w:sz="4" w:space="0"/>
              <w:bottom w:val="single" w:color="auto" w:sz="4" w:space="0"/>
              <w:right w:val="single" w:color="auto" w:sz="4" w:space="0"/>
            </w:tcBorders>
            <w:shd w:val="clear" w:color="auto" w:fill="auto"/>
            <w:vAlign w:val="center"/>
          </w:tcPr>
          <w:p w14:paraId="09EF03BA">
            <w:pPr>
              <w:jc w:val="center"/>
              <w:rPr>
                <w:rFonts w:hint="default" w:ascii="Times New Roman" w:hAnsi="Times New Roman" w:eastAsia="仿宋_GB2312" w:cs="Times New Roman"/>
                <w:i w:val="0"/>
                <w:iCs w:val="0"/>
                <w:color w:val="000000"/>
                <w:sz w:val="22"/>
                <w:szCs w:val="22"/>
                <w:highlight w:val="none"/>
                <w:u w:val="none"/>
              </w:rPr>
            </w:pPr>
          </w:p>
        </w:tc>
        <w:tc>
          <w:tcPr>
            <w:tcW w:w="1005" w:type="dxa"/>
            <w:tcBorders>
              <w:top w:val="single" w:color="auto" w:sz="4" w:space="0"/>
              <w:left w:val="single" w:color="auto" w:sz="4" w:space="0"/>
              <w:bottom w:val="single" w:color="auto" w:sz="4" w:space="0"/>
              <w:right w:val="single" w:color="auto" w:sz="4" w:space="0"/>
            </w:tcBorders>
            <w:shd w:val="clear" w:color="auto" w:fill="auto"/>
            <w:vAlign w:val="center"/>
          </w:tcPr>
          <w:p w14:paraId="66B83FAB">
            <w:pPr>
              <w:jc w:val="center"/>
              <w:rPr>
                <w:rFonts w:hint="default" w:ascii="Times New Roman" w:hAnsi="Times New Roman" w:eastAsia="仿宋_GB2312" w:cs="Times New Roman"/>
                <w:i w:val="0"/>
                <w:iCs w:val="0"/>
                <w:color w:val="000000"/>
                <w:sz w:val="22"/>
                <w:szCs w:val="22"/>
                <w:highlight w:val="none"/>
                <w:u w:val="none"/>
              </w:rPr>
            </w:pPr>
          </w:p>
        </w:tc>
        <w:tc>
          <w:tcPr>
            <w:tcW w:w="2759" w:type="dxa"/>
            <w:tcBorders>
              <w:top w:val="single" w:color="auto" w:sz="4" w:space="0"/>
              <w:left w:val="single" w:color="auto" w:sz="4" w:space="0"/>
              <w:bottom w:val="single" w:color="auto" w:sz="4" w:space="0"/>
              <w:right w:val="single" w:color="auto" w:sz="4" w:space="0"/>
            </w:tcBorders>
            <w:shd w:val="clear" w:color="auto" w:fill="auto"/>
            <w:vAlign w:val="center"/>
          </w:tcPr>
          <w:p w14:paraId="17229AEE">
            <w:pPr>
              <w:jc w:val="center"/>
              <w:rPr>
                <w:rFonts w:hint="default" w:ascii="Times New Roman" w:hAnsi="Times New Roman" w:eastAsia="仿宋_GB2312" w:cs="Times New Roman"/>
                <w:i w:val="0"/>
                <w:iCs w:val="0"/>
                <w:color w:val="000000"/>
                <w:sz w:val="22"/>
                <w:szCs w:val="22"/>
                <w:highlight w:val="none"/>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262CCA2F">
            <w:pPr>
              <w:jc w:val="center"/>
              <w:rPr>
                <w:rFonts w:hint="default" w:ascii="Times New Roman" w:hAnsi="Times New Roman" w:eastAsia="仿宋_GB2312" w:cs="Times New Roman"/>
                <w:i w:val="0"/>
                <w:iCs w:val="0"/>
                <w:color w:val="000000"/>
                <w:sz w:val="22"/>
                <w:szCs w:val="22"/>
                <w:highlight w:val="none"/>
                <w:u w:val="none"/>
              </w:rPr>
            </w:pPr>
          </w:p>
        </w:tc>
        <w:tc>
          <w:tcPr>
            <w:tcW w:w="2545" w:type="dxa"/>
            <w:tcBorders>
              <w:top w:val="single" w:color="auto" w:sz="4" w:space="0"/>
              <w:left w:val="single" w:color="auto" w:sz="4" w:space="0"/>
              <w:bottom w:val="single" w:color="auto" w:sz="4" w:space="0"/>
              <w:right w:val="single" w:color="auto" w:sz="4" w:space="0"/>
            </w:tcBorders>
            <w:shd w:val="clear" w:color="auto" w:fill="auto"/>
            <w:vAlign w:val="center"/>
          </w:tcPr>
          <w:p w14:paraId="2EC624AD">
            <w:pPr>
              <w:jc w:val="center"/>
              <w:rPr>
                <w:rFonts w:hint="default" w:ascii="Times New Roman" w:hAnsi="Times New Roman" w:eastAsia="仿宋_GB2312" w:cs="Times New Roman"/>
                <w:i w:val="0"/>
                <w:iCs w:val="0"/>
                <w:color w:val="000000"/>
                <w:sz w:val="22"/>
                <w:szCs w:val="22"/>
                <w:highlight w:val="none"/>
                <w:u w:val="none"/>
              </w:rPr>
            </w:pPr>
          </w:p>
        </w:tc>
        <w:tc>
          <w:tcPr>
            <w:tcW w:w="785" w:type="dxa"/>
            <w:tcBorders>
              <w:top w:val="single" w:color="auto" w:sz="4" w:space="0"/>
              <w:left w:val="single" w:color="auto" w:sz="4" w:space="0"/>
              <w:bottom w:val="single" w:color="auto" w:sz="4" w:space="0"/>
              <w:right w:val="single" w:color="auto" w:sz="4" w:space="0"/>
            </w:tcBorders>
            <w:shd w:val="clear" w:color="auto" w:fill="auto"/>
            <w:vAlign w:val="center"/>
          </w:tcPr>
          <w:p w14:paraId="1B3196A0">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cs="Times New Roman"/>
                <w:i w:val="0"/>
                <w:iCs w:val="0"/>
                <w:snapToGrid w:val="0"/>
                <w:color w:val="000000"/>
                <w:kern w:val="0"/>
                <w:sz w:val="22"/>
                <w:szCs w:val="22"/>
                <w:highlight w:val="none"/>
                <w:u w:val="none"/>
                <w:lang w:val="en-US" w:eastAsia="zh-CN" w:bidi="ar"/>
              </w:rPr>
              <w:t>1</w:t>
            </w:r>
          </w:p>
        </w:tc>
        <w:tc>
          <w:tcPr>
            <w:tcW w:w="766" w:type="dxa"/>
            <w:tcBorders>
              <w:top w:val="single" w:color="auto" w:sz="4" w:space="0"/>
              <w:left w:val="single" w:color="auto" w:sz="4" w:space="0"/>
              <w:bottom w:val="single" w:color="auto" w:sz="4" w:space="0"/>
              <w:right w:val="single" w:color="auto" w:sz="4" w:space="0"/>
            </w:tcBorders>
            <w:shd w:val="clear" w:color="auto" w:fill="auto"/>
            <w:vAlign w:val="center"/>
          </w:tcPr>
          <w:p w14:paraId="71FDE27F">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lang w:val="en-US"/>
              </w:rPr>
            </w:pPr>
            <w:r>
              <w:rPr>
                <w:rFonts w:hint="default" w:ascii="Times New Roman" w:hAnsi="Times New Roman" w:cs="Times New Roman"/>
                <w:i w:val="0"/>
                <w:iCs w:val="0"/>
                <w:snapToGrid w:val="0"/>
                <w:color w:val="000000"/>
                <w:kern w:val="0"/>
                <w:sz w:val="22"/>
                <w:szCs w:val="22"/>
                <w:highlight w:val="none"/>
                <w:u w:val="none"/>
                <w:lang w:val="en-US" w:eastAsia="zh-CN" w:bidi="ar"/>
              </w:rPr>
              <w:t>99</w:t>
            </w:r>
          </w:p>
        </w:tc>
        <w:tc>
          <w:tcPr>
            <w:tcW w:w="1059" w:type="dxa"/>
            <w:tcBorders>
              <w:top w:val="single" w:color="auto" w:sz="4" w:space="0"/>
              <w:left w:val="single" w:color="auto" w:sz="4" w:space="0"/>
              <w:bottom w:val="single" w:color="auto" w:sz="4" w:space="0"/>
              <w:right w:val="single" w:color="auto" w:sz="4" w:space="0"/>
            </w:tcBorders>
            <w:shd w:val="clear" w:color="auto" w:fill="auto"/>
            <w:vAlign w:val="center"/>
          </w:tcPr>
          <w:p w14:paraId="0DAA4172">
            <w:pPr>
              <w:keepNext w:val="0"/>
              <w:keepLines w:val="0"/>
              <w:widowControl/>
              <w:suppressLineNumbers w:val="0"/>
              <w:jc w:val="center"/>
              <w:textAlignment w:val="center"/>
              <w:rPr>
                <w:rFonts w:hint="default" w:ascii="Times New Roman" w:hAnsi="Times New Roman" w:eastAsia="仿宋_GB2312" w:cs="Times New Roman"/>
                <w:i w:val="0"/>
                <w:iCs w:val="0"/>
                <w:color w:val="000000"/>
                <w:sz w:val="22"/>
                <w:szCs w:val="22"/>
                <w:highlight w:val="none"/>
                <w:u w:val="none"/>
              </w:rPr>
            </w:pPr>
            <w:r>
              <w:rPr>
                <w:rFonts w:hint="default" w:ascii="Times New Roman" w:hAnsi="Times New Roman" w:cs="Times New Roman"/>
                <w:i w:val="0"/>
                <w:iCs w:val="0"/>
                <w:snapToGrid w:val="0"/>
                <w:color w:val="000000"/>
                <w:kern w:val="0"/>
                <w:sz w:val="22"/>
                <w:szCs w:val="22"/>
                <w:highlight w:val="none"/>
                <w:u w:val="none"/>
                <w:lang w:val="en-US" w:eastAsia="zh-CN" w:bidi="ar"/>
              </w:rPr>
              <w:t>99.00</w:t>
            </w:r>
            <w:r>
              <w:rPr>
                <w:rFonts w:hint="default" w:ascii="Times New Roman" w:hAnsi="Times New Roman" w:eastAsia="仿宋_GB2312" w:cs="Times New Roman"/>
                <w:i w:val="0"/>
                <w:iCs w:val="0"/>
                <w:snapToGrid w:val="0"/>
                <w:color w:val="000000"/>
                <w:kern w:val="0"/>
                <w:sz w:val="22"/>
                <w:szCs w:val="22"/>
                <w:highlight w:val="none"/>
                <w:u w:val="none"/>
                <w:lang w:val="en-US" w:eastAsia="zh-CN" w:bidi="ar"/>
              </w:rPr>
              <w:t>%</w:t>
            </w:r>
          </w:p>
        </w:tc>
      </w:tr>
    </w:tbl>
    <w:p w14:paraId="7A40FF2A">
      <w:pPr>
        <w:keepNext w:val="0"/>
        <w:keepLines w:val="0"/>
        <w:pageBreakBefore w:val="0"/>
        <w:numPr>
          <w:ilvl w:val="0"/>
          <w:numId w:val="0"/>
        </w:numPr>
        <w:wordWrap/>
        <w:overflowPunct/>
        <w:bidi w:val="0"/>
        <w:jc w:val="both"/>
        <w:rPr>
          <w:rFonts w:hint="default" w:ascii="Times New Roman" w:hAnsi="Times New Roman" w:eastAsia="仿宋_GB2312" w:cs="Times New Roman"/>
          <w:highlight w:val="none"/>
          <w:lang w:val="en-US" w:eastAsia="zh-CN"/>
        </w:rPr>
      </w:pPr>
    </w:p>
    <w:p w14:paraId="3189950A">
      <w:pPr>
        <w:keepNext w:val="0"/>
        <w:keepLines w:val="0"/>
        <w:pageBreakBefore w:val="0"/>
        <w:numPr>
          <w:ilvl w:val="0"/>
          <w:numId w:val="0"/>
        </w:numPr>
        <w:wordWrap/>
        <w:overflowPunct/>
        <w:bidi w:val="0"/>
        <w:jc w:val="both"/>
        <w:rPr>
          <w:rFonts w:hint="default" w:ascii="Times New Roman" w:hAnsi="Times New Roman" w:cs="Times New Roman"/>
          <w:highlight w:val="none"/>
          <w:lang w:val="en-US" w:eastAsia="zh-CN"/>
        </w:rPr>
      </w:pPr>
    </w:p>
    <w:p w14:paraId="0A69F36D">
      <w:pPr>
        <w:keepNext w:val="0"/>
        <w:keepLines w:val="0"/>
        <w:pageBreakBefore w:val="0"/>
        <w:numPr>
          <w:ilvl w:val="0"/>
          <w:numId w:val="0"/>
        </w:numPr>
        <w:wordWrap/>
        <w:overflowPunct/>
        <w:bidi w:val="0"/>
        <w:jc w:val="both"/>
        <w:rPr>
          <w:rFonts w:hint="default" w:ascii="Times New Roman" w:hAnsi="Times New Roman" w:cs="Times New Roman"/>
          <w:highlight w:val="none"/>
          <w:lang w:val="en-US" w:eastAsia="zh-CN"/>
        </w:rPr>
        <w:sectPr>
          <w:pgSz w:w="16838" w:h="11906" w:orient="landscape"/>
          <w:pgMar w:top="720" w:right="720" w:bottom="720" w:left="720" w:header="851" w:footer="992" w:gutter="0"/>
          <w:pgNumType w:fmt="decimal"/>
          <w:cols w:space="425" w:num="1"/>
          <w:docGrid w:type="lines" w:linePitch="312" w:charSpace="0"/>
        </w:sectPr>
      </w:pPr>
    </w:p>
    <w:p w14:paraId="5F3F4E64">
      <w:pPr>
        <w:keepNext w:val="0"/>
        <w:keepLines w:val="0"/>
        <w:pageBreakBefore w:val="0"/>
        <w:numPr>
          <w:ilvl w:val="0"/>
          <w:numId w:val="0"/>
        </w:numPr>
        <w:wordWrap/>
        <w:overflowPunct/>
        <w:bidi w:val="0"/>
        <w:spacing w:line="240" w:lineRule="auto"/>
        <w:ind w:left="0" w:leftChars="0" w:firstLine="0" w:firstLineChars="0"/>
        <w:jc w:val="both"/>
        <w:outlineLvl w:val="0"/>
        <w:rPr>
          <w:rFonts w:hint="default" w:ascii="Times New Roman" w:hAnsi="Times New Roman" w:cs="Times New Roman"/>
          <w:highlight w:val="none"/>
          <w:lang w:val="en-US" w:eastAsia="zh-CN"/>
        </w:rPr>
        <w:sectPr>
          <w:pgSz w:w="11906" w:h="16838"/>
          <w:pgMar w:top="1440" w:right="1800" w:bottom="1440" w:left="1800" w:header="851" w:footer="992" w:gutter="0"/>
          <w:pgNumType w:fmt="decimal"/>
          <w:cols w:space="425" w:num="1"/>
          <w:docGrid w:type="lines" w:linePitch="312" w:charSpace="0"/>
        </w:sectPr>
      </w:pPr>
      <w:bookmarkStart w:id="317" w:name="_Toc24178"/>
      <w:bookmarkStart w:id="318" w:name="_Toc12037"/>
      <w:bookmarkStart w:id="319" w:name="_Toc27028"/>
      <w:bookmarkStart w:id="320" w:name="_Toc7016"/>
      <w:r>
        <w:rPr>
          <w:rFonts w:hint="default" w:ascii="Times New Roman" w:hAnsi="Times New Roman" w:cs="Times New Roman"/>
          <w:highlight w:val="none"/>
          <w:lang w:val="en-US" w:eastAsia="zh-CN"/>
        </w:rPr>
        <w:t>附件2：绩效评价报告征求部门意见反馈表</w:t>
      </w:r>
      <w:r>
        <w:rPr>
          <w:rFonts w:hint="default" w:ascii="Times New Roman" w:hAnsi="Times New Roman" w:cs="Times New Roman"/>
          <w:highlight w:val="none"/>
          <w:lang w:val="en-US" w:eastAsia="zh-CN"/>
        </w:rPr>
        <w:br w:type="textWrapping"/>
      </w:r>
      <w:bookmarkEnd w:id="317"/>
      <w:bookmarkEnd w:id="318"/>
      <w:bookmarkEnd w:id="319"/>
      <w:bookmarkEnd w:id="320"/>
      <w:r>
        <w:rPr>
          <w:rFonts w:hint="default" w:ascii="Times New Roman" w:hAnsi="Times New Roman" w:cs="Times New Roman"/>
          <w:highlight w:val="none"/>
          <w:lang w:val="en-US" w:eastAsia="zh-CN"/>
        </w:rPr>
        <w:drawing>
          <wp:inline distT="0" distB="0" distL="114300" distR="114300">
            <wp:extent cx="5273040" cy="7450455"/>
            <wp:effectExtent l="0" t="0" r="10160" b="4445"/>
            <wp:docPr id="5" name="图片 5" descr="2025915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025915_00"/>
                    <pic:cNvPicPr>
                      <a:picLocks noChangeAspect="1"/>
                    </pic:cNvPicPr>
                  </pic:nvPicPr>
                  <pic:blipFill>
                    <a:blip r:embed="rId11"/>
                    <a:stretch>
                      <a:fillRect/>
                    </a:stretch>
                  </pic:blipFill>
                  <pic:spPr>
                    <a:xfrm>
                      <a:off x="0" y="0"/>
                      <a:ext cx="5273040" cy="7450455"/>
                    </a:xfrm>
                    <a:prstGeom prst="rect">
                      <a:avLst/>
                    </a:prstGeom>
                  </pic:spPr>
                </pic:pic>
              </a:graphicData>
            </a:graphic>
          </wp:inline>
        </w:drawing>
      </w:r>
    </w:p>
    <w:p w14:paraId="1071EE9A">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highlight w:val="none"/>
          <w:lang w:val="en-US" w:eastAsia="zh-CN"/>
        </w:rPr>
      </w:pPr>
      <w:bookmarkStart w:id="321" w:name="_Toc12099"/>
      <w:bookmarkStart w:id="322" w:name="_Toc30549"/>
      <w:bookmarkStart w:id="323" w:name="_Toc15837"/>
      <w:bookmarkStart w:id="324" w:name="_Toc30763"/>
      <w:r>
        <w:rPr>
          <w:rFonts w:hint="default" w:ascii="Times New Roman" w:hAnsi="Times New Roman" w:cs="Times New Roman"/>
          <w:highlight w:val="none"/>
          <w:lang w:val="en-US" w:eastAsia="zh-CN"/>
        </w:rPr>
        <w:t>附件3：访谈报告</w:t>
      </w:r>
      <w:bookmarkEnd w:id="321"/>
      <w:bookmarkEnd w:id="322"/>
      <w:bookmarkEnd w:id="323"/>
      <w:bookmarkEnd w:id="324"/>
    </w:p>
    <w:p w14:paraId="5B694572">
      <w:pPr>
        <w:keepNext w:val="0"/>
        <w:keepLines w:val="0"/>
        <w:pageBreakBefore w:val="0"/>
        <w:numPr>
          <w:ilvl w:val="0"/>
          <w:numId w:val="0"/>
        </w:numPr>
        <w:wordWrap/>
        <w:overflowPunct/>
        <w:bidi w:val="0"/>
        <w:jc w:val="center"/>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访谈记录</w:t>
      </w:r>
    </w:p>
    <w:p w14:paraId="45258C63">
      <w:pPr>
        <w:keepNext w:val="0"/>
        <w:keepLines w:val="0"/>
        <w:pageBreakBefore w:val="0"/>
        <w:numPr>
          <w:ilvl w:val="0"/>
          <w:numId w:val="0"/>
        </w:numPr>
        <w:wordWrap/>
        <w:overflowPunct/>
        <w:bidi w:val="0"/>
        <w:jc w:val="both"/>
        <w:rPr>
          <w:rFonts w:hint="default" w:ascii="Times New Roman" w:hAnsi="Times New Roman" w:cs="Times New Roman"/>
          <w:highlight w:val="none"/>
          <w:lang w:val="en-US" w:eastAsia="zh-CN"/>
        </w:rPr>
      </w:pPr>
    </w:p>
    <w:p w14:paraId="3F600BA9">
      <w:pPr>
        <w:keepNext w:val="0"/>
        <w:keepLines w:val="0"/>
        <w:pageBreakBefore w:val="0"/>
        <w:widowControl/>
        <w:numPr>
          <w:ilvl w:val="0"/>
          <w:numId w:val="0"/>
        </w:numPr>
        <w:wordWrap/>
        <w:overflowPunct/>
        <w:topLinePunct w:val="0"/>
        <w:autoSpaceDE w:val="0"/>
        <w:autoSpaceDN w:val="0"/>
        <w:bidi w:val="0"/>
        <w:adjustRightInd w:val="0"/>
        <w:snapToGrid w:val="0"/>
        <w:jc w:val="both"/>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项目名称：2024年国有企业退休人员社会化管理补助资金</w:t>
      </w:r>
    </w:p>
    <w:p w14:paraId="31D01FFE">
      <w:pPr>
        <w:keepNext w:val="0"/>
        <w:keepLines w:val="0"/>
        <w:pageBreakBefore w:val="0"/>
        <w:widowControl/>
        <w:numPr>
          <w:ilvl w:val="0"/>
          <w:numId w:val="0"/>
        </w:numPr>
        <w:kinsoku/>
        <w:wordWrap/>
        <w:overflowPunct/>
        <w:topLinePunct w:val="0"/>
        <w:autoSpaceDE w:val="0"/>
        <w:autoSpaceDN w:val="0"/>
        <w:bidi w:val="0"/>
        <w:adjustRightInd w:val="0"/>
        <w:snapToGrid w:val="0"/>
        <w:ind w:firstLine="640"/>
        <w:jc w:val="both"/>
        <w:textAlignment w:val="baseline"/>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1.项目总投资多少万元？2024年计划投资多少万元？2024年实际支出多少万元？（以上每项资金需要有相关资料）</w:t>
      </w:r>
    </w:p>
    <w:p w14:paraId="0E00FA48">
      <w:pPr>
        <w:keepNext w:val="0"/>
        <w:keepLines w:val="0"/>
        <w:pageBreakBefore w:val="0"/>
        <w:widowControl/>
        <w:numPr>
          <w:ilvl w:val="0"/>
          <w:numId w:val="0"/>
        </w:numPr>
        <w:kinsoku/>
        <w:wordWrap/>
        <w:overflowPunct/>
        <w:topLinePunct w:val="0"/>
        <w:autoSpaceDE w:val="0"/>
        <w:autoSpaceDN w:val="0"/>
        <w:bidi w:val="0"/>
        <w:adjustRightInd w:val="0"/>
        <w:snapToGrid w:val="0"/>
        <w:ind w:firstLine="640"/>
        <w:jc w:val="both"/>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2024年国有企业退休人员社会化管理补助资金上级拨付230.86万元 。2024年老年活动中心保安保洁服务 47.8万元，以社区、站点为单位开展文化活动、体育活动、培训、讲座等各类活动183.06万元。实际支出 230.86万元。</w:t>
      </w:r>
    </w:p>
    <w:p w14:paraId="392DAE0C">
      <w:pPr>
        <w:keepNext w:val="0"/>
        <w:keepLines w:val="0"/>
        <w:pageBreakBefore w:val="0"/>
        <w:widowControl/>
        <w:numPr>
          <w:ilvl w:val="0"/>
          <w:numId w:val="0"/>
        </w:numPr>
        <w:kinsoku/>
        <w:wordWrap/>
        <w:overflowPunct/>
        <w:topLinePunct w:val="0"/>
        <w:autoSpaceDE w:val="0"/>
        <w:autoSpaceDN w:val="0"/>
        <w:bidi w:val="0"/>
        <w:adjustRightInd w:val="0"/>
        <w:snapToGrid w:val="0"/>
        <w:ind w:firstLine="640"/>
        <w:jc w:val="both"/>
        <w:textAlignment w:val="baseline"/>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2.项目组织情况，项目实施过程涉及的单位包括哪些。各单位职责分别是什么？</w:t>
      </w:r>
    </w:p>
    <w:p w14:paraId="31A275E3">
      <w:pPr>
        <w:keepNext w:val="0"/>
        <w:keepLines w:val="0"/>
        <w:pageBreakBefore w:val="0"/>
        <w:widowControl/>
        <w:numPr>
          <w:ilvl w:val="0"/>
          <w:numId w:val="0"/>
        </w:numPr>
        <w:wordWrap/>
        <w:overflowPunct/>
        <w:topLinePunct w:val="0"/>
        <w:autoSpaceDE w:val="0"/>
        <w:autoSpaceDN w:val="0"/>
        <w:bidi w:val="0"/>
        <w:adjustRightInd w:val="0"/>
        <w:snapToGrid w:val="0"/>
        <w:ind w:firstLine="640"/>
        <w:jc w:val="both"/>
        <w:textAlignment w:val="baseline"/>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该项目实施单位：昆仑路街道办事处，作为本辖区国有企业退休人员社会化管理工作的总协调和执行者，全面负责项目的统筹安排，制定符合本街道的国有企业退休人员社会化管理工作的相关工作制度，明确工作流程和标准，确保项目工作有序开展；协调下属15个社区之间的工作衔接，解决工作中出现的各类问题和矛盾，保障国有企业退休人员社会化管理工作的一致性和连贯性；对上级拨付的补助资金进行统一管理和分配，严格按照资金使用规定和预算安排，分配资金的使用，并监督资金的使用情况，确保专款专用。</w:t>
      </w:r>
    </w:p>
    <w:p w14:paraId="1370E2FC">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3.项目实施进展情况，项目从立项开始到目前完成了那些工作？</w:t>
      </w:r>
    </w:p>
    <w:p w14:paraId="4724329C">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国有企业退休人员社会化管理补助资金项目自启动以来到完成，首先是前期筹备与基础摸排，组织街道及社区工作人员学习相关文件、政策法规，明确补助资金使用范围、活动开展要求等核心内容，统一工作标准；以社区为单位，对辖区国有企业退休人员进行全面摸排，为活动精准开展提供依据；结合各社区摸排情况，制定活动计划、方案，并完成资金预算分解；定期开展资金使用自检自查，谋化2025年服务计划，确保社会化管理的连续性。</w:t>
      </w:r>
    </w:p>
    <w:p w14:paraId="6F941B4F">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4.请您简要介绍为保障项目顺利开展、（成本管理）资金的合理支出，贵单位制定了哪些管理办法？实际采取过哪些监管与管理措施？</w:t>
      </w:r>
    </w:p>
    <w:p w14:paraId="1A665754">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一是成立了项目实施领导小组，明确了工作的分工与职责，二是结合街道实际，我单位严格依据《关于印发新疆维吾尔自治区国有企业退休人员社会化管理政府购买服务实施办法的通知》新政办发〔2020〕60号、关于印发《克拉玛依市国有企业退休人员社会化管理服务暂行办法》的通知 新克政发〔2020〕63号、《关于进一步加强国有企业退休人员社会化管理补助资金使用管理的通知》新财办企〔2023〕1号的通知等上级文件要求，开展资金管理与监管工作。具体措施有：专款专用原则，严格限定资金使用范围，仅用于国有企业退休人员社会化管理相关的活动开展、服务保障、档案物资采购等；合规性原则，所有资金支出均对照上级文件明确的开支目录执行，不超出规定范围列支费用；效益性原则，在资金使用中注重性价比，如采购活动物资时通过多家比价等方式降低成本，确保每一笔支出都能最大限度服务于退休人员。具体的监管与管理措施：一是资金拨付与分配管理，街道收到上级拨付的补助资金后，根据街道实际情况及各社区国有企业退休人员数量等，制定活动计划、资金分配方案；二是支出审批流程，街道、社区开展活动或采购物资前，需上工委会或支委会进行讨论通过，详细说明活动内容、预算金额、受益人数等，根据上级文件要求对申请进行审核，重点核查是否符合资金使用范围、预算是否合理，审核通过后方可执行；单笔支出超过规定限额的，需经街道党工委会议集体研究决定；三是票据与台账管理，所有资金支出均需取得合法、规范的原始票据，票据上需注明具体用途、经手人、证明人；四是街道定期组织自查，由财务部门牵头，对各社区的资金使用情况进行检查，重点查看是否存在超范围支出、票据不合规等问题，发现问题立即督促整改；五是畅通监督渠道，通过辖区退休人员座谈会、问卷调查等方式，公开资金使用明细，接受退休人员和社会监督，收集反馈意见并及时回应；六是档案留存与总结，所有资金使用相关的申请单、审批表、票据、台账、活动照片等资料，分类存档统一保管，以备上级部门检查。项目实施过程中，街道每季度对照上级文件要求，总结资金使用情况，分析存在的问题并优化管理流程，确保资金使用全程可追溯、合规可控。</w:t>
      </w:r>
    </w:p>
    <w:p w14:paraId="02146C23">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5.是否有外部监督检查（新疆监管局、上级审计、纪检、当地 质监站）相关情况？</w:t>
      </w:r>
    </w:p>
    <w:p w14:paraId="5825280B">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2024年部分社区接受过巡视巡查。</w:t>
      </w:r>
    </w:p>
    <w:p w14:paraId="1C6C62C4">
      <w:pPr>
        <w:keepNext w:val="0"/>
        <w:keepLines w:val="0"/>
        <w:pageBreakBefore w:val="0"/>
        <w:widowControl/>
        <w:numPr>
          <w:ilvl w:val="0"/>
          <w:numId w:val="0"/>
        </w:numPr>
        <w:kinsoku/>
        <w:wordWrap/>
        <w:overflowPunct/>
        <w:topLinePunct w:val="0"/>
        <w:autoSpaceDE w:val="0"/>
        <w:autoSpaceDN w:val="0"/>
        <w:bidi w:val="0"/>
        <w:adjustRightInd w:val="0"/>
        <w:snapToGrid w:val="0"/>
        <w:ind w:firstLine="640"/>
        <w:jc w:val="both"/>
        <w:textAlignment w:val="baseline"/>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6.您认为本项目资金的使用达到了什么效益？（经济/社会）？取得了哪些成绩？</w:t>
      </w:r>
    </w:p>
    <w:p w14:paraId="54FAF440">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在做好国有企业退休人员实行社会化管理及服务保障工作的前提下，开展国有企业退休人员社区实践活动、社会公益活动、文化体育健身活动等项目，极大丰富了</w:t>
      </w:r>
      <w:del w:id="2" w:author="WPS_1615451219" w:date="2025-09-19T10:42:59Z">
        <w:r>
          <w:rPr>
            <w:rFonts w:hint="default" w:ascii="Times New Roman" w:hAnsi="Times New Roman" w:cs="Times New Roman"/>
            <w:highlight w:val="none"/>
            <w:lang w:val="en-US" w:eastAsia="zh-CN"/>
          </w:rPr>
          <w:delText>退体人员</w:delText>
        </w:r>
      </w:del>
      <w:ins w:id="3" w:author="WPS_1615451219" w:date="2025-09-19T10:42:59Z">
        <w:r>
          <w:rPr>
            <w:rFonts w:hint="eastAsia" w:ascii="Times New Roman" w:hAnsi="Times New Roman" w:cs="Times New Roman"/>
            <w:highlight w:val="none"/>
            <w:lang w:val="en-US" w:eastAsia="zh-CN"/>
          </w:rPr>
          <w:t>退休人员</w:t>
        </w:r>
      </w:ins>
      <w:r>
        <w:rPr>
          <w:rFonts w:hint="default" w:ascii="Times New Roman" w:hAnsi="Times New Roman" w:cs="Times New Roman"/>
          <w:highlight w:val="none"/>
          <w:lang w:val="en-US" w:eastAsia="zh-CN"/>
        </w:rPr>
        <w:t>的精神文化生活，增强退休人员归属感、幸福感，真正实现"老有所为，老有所乐”，体现了党和政府对退休人员的关爱。 且具有十分重要的意义。</w:t>
      </w:r>
    </w:p>
    <w:p w14:paraId="65B14C99">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7.项目实施过程中存在的问题及遇到的困难？</w:t>
      </w:r>
    </w:p>
    <w:p w14:paraId="039161F0">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无</w:t>
      </w:r>
    </w:p>
    <w:p w14:paraId="5DB79520">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8.请您谈谈项目开展过程中积累了哪些经验做法，以及下一步的工作规划：</w:t>
      </w:r>
    </w:p>
    <w:p w14:paraId="06126D68">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昆仑路街道退管站根据新形势发展变化，充分利用现有资源，积极开展各项社会化管理服务工作，下一步各部门将继续各司其职，持续做好项目的各项工作，确保社会化管理工作有序开展。</w:t>
      </w:r>
    </w:p>
    <w:p w14:paraId="4C91589B">
      <w:pPr>
        <w:keepNext w:val="0"/>
        <w:keepLines w:val="0"/>
        <w:pageBreakBefore w:val="0"/>
        <w:numPr>
          <w:ilvl w:val="0"/>
          <w:numId w:val="0"/>
        </w:numPr>
        <w:wordWrap/>
        <w:overflowPunct/>
        <w:bidi w:val="0"/>
        <w:ind w:firstLine="640"/>
        <w:jc w:val="both"/>
        <w:rPr>
          <w:rFonts w:hint="default" w:ascii="Times New Roman" w:hAnsi="Times New Roman" w:cs="Times New Roman"/>
          <w:b/>
          <w:bCs/>
          <w:highlight w:val="none"/>
          <w:lang w:val="en-US" w:eastAsia="zh-CN"/>
        </w:rPr>
      </w:pPr>
      <w:r>
        <w:rPr>
          <w:rFonts w:hint="default" w:ascii="Times New Roman" w:hAnsi="Times New Roman" w:cs="Times New Roman"/>
          <w:b/>
          <w:bCs/>
          <w:highlight w:val="none"/>
          <w:lang w:val="en-US" w:eastAsia="zh-CN"/>
        </w:rPr>
        <w:t>9.是否存在设计变更？</w:t>
      </w:r>
    </w:p>
    <w:p w14:paraId="7D02396D">
      <w:pPr>
        <w:keepNext w:val="0"/>
        <w:keepLines w:val="0"/>
        <w:pageBreakBefore w:val="0"/>
        <w:numPr>
          <w:ilvl w:val="0"/>
          <w:numId w:val="0"/>
        </w:numPr>
        <w:wordWrap/>
        <w:overflowPunct/>
        <w:bidi w:val="0"/>
        <w:ind w:firstLine="640"/>
        <w:jc w:val="both"/>
        <w:rPr>
          <w:rFonts w:hint="default" w:ascii="Times New Roman" w:hAnsi="Times New Roman" w:cs="Times New Roman"/>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highlight w:val="none"/>
          <w:lang w:val="en-US" w:eastAsia="zh-CN"/>
        </w:rPr>
        <w:t>无</w:t>
      </w:r>
    </w:p>
    <w:p w14:paraId="5FF0A3F0">
      <w:pPr>
        <w:keepNext w:val="0"/>
        <w:keepLines w:val="0"/>
        <w:pageBreakBefore w:val="0"/>
        <w:numPr>
          <w:ilvl w:val="0"/>
          <w:numId w:val="0"/>
        </w:numPr>
        <w:wordWrap/>
        <w:overflowPunct/>
        <w:bidi w:val="0"/>
        <w:ind w:left="0" w:leftChars="0" w:firstLine="0" w:firstLineChars="0"/>
        <w:jc w:val="left"/>
        <w:outlineLvl w:val="0"/>
        <w:rPr>
          <w:rFonts w:hint="default" w:ascii="Times New Roman" w:hAnsi="Times New Roman" w:cs="Times New Roman"/>
          <w:highlight w:val="none"/>
          <w:lang w:val="en-US" w:eastAsia="zh-CN"/>
        </w:rPr>
      </w:pPr>
      <w:bookmarkStart w:id="325" w:name="_Toc19960"/>
      <w:bookmarkStart w:id="326" w:name="_Toc13723"/>
      <w:bookmarkStart w:id="327" w:name="_Toc6948"/>
      <w:bookmarkStart w:id="328" w:name="_Toc31185"/>
      <w:r>
        <w:rPr>
          <w:rFonts w:hint="default" w:ascii="Times New Roman" w:hAnsi="Times New Roman" w:cs="Times New Roman"/>
          <w:highlight w:val="none"/>
          <w:lang w:val="en-US" w:eastAsia="zh-CN"/>
        </w:rPr>
        <w:t>附件4：满意度调查问卷</w:t>
      </w:r>
      <w:bookmarkEnd w:id="325"/>
      <w:bookmarkEnd w:id="326"/>
      <w:bookmarkEnd w:id="327"/>
    </w:p>
    <w:p w14:paraId="36D95EB1">
      <w:pPr>
        <w:keepNext w:val="0"/>
        <w:keepLines w:val="0"/>
        <w:pageBreakBefore w:val="0"/>
        <w:numPr>
          <w:ilvl w:val="0"/>
          <w:numId w:val="0"/>
        </w:numPr>
        <w:wordWrap/>
        <w:overflowPunct/>
        <w:bidi w:val="0"/>
        <w:ind w:left="0" w:leftChars="0" w:firstLine="0" w:firstLineChars="0"/>
        <w:jc w:val="center"/>
        <w:outlineLvl w:val="0"/>
        <w:rPr>
          <w:rFonts w:hint="default" w:ascii="Times New Roman" w:hAnsi="Times New Roman" w:cs="Times New Roman"/>
          <w:sz w:val="21"/>
          <w:szCs w:val="21"/>
          <w:highlight w:val="none"/>
          <w:lang w:val="en-US" w:eastAsia="zh-CN"/>
        </w:rPr>
      </w:pPr>
      <w:bookmarkStart w:id="329" w:name="_Toc25044"/>
      <w:bookmarkStart w:id="330" w:name="_Toc21354"/>
      <w:r>
        <w:rPr>
          <w:rFonts w:hint="default" w:ascii="Times New Roman" w:hAnsi="Times New Roman" w:cs="Times New Roman"/>
          <w:sz w:val="21"/>
          <w:szCs w:val="21"/>
          <w:highlight w:val="none"/>
          <w:lang w:val="en-US" w:eastAsia="zh-CN"/>
        </w:rPr>
        <w:t>昆仑路街道国有企业退休人员服务满意度调查问卷</w:t>
      </w:r>
      <w:bookmarkEnd w:id="328"/>
      <w:bookmarkEnd w:id="329"/>
      <w:bookmarkEnd w:id="330"/>
    </w:p>
    <w:p w14:paraId="1762C83F">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p>
    <w:p w14:paraId="17B07806">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31" w:name="_Toc25604"/>
      <w:bookmarkStart w:id="332" w:name="_Toc25085"/>
      <w:bookmarkStart w:id="333" w:name="_Toc24268"/>
      <w:r>
        <w:rPr>
          <w:rFonts w:hint="default" w:ascii="Times New Roman" w:hAnsi="Times New Roman" w:cs="Times New Roman"/>
          <w:sz w:val="21"/>
          <w:szCs w:val="21"/>
          <w:highlight w:val="none"/>
          <w:lang w:val="en-US" w:eastAsia="zh-CN"/>
        </w:rPr>
        <w:t>尊敬的退休老同志：</w:t>
      </w:r>
      <w:bookmarkEnd w:id="331"/>
      <w:bookmarkEnd w:id="332"/>
      <w:bookmarkEnd w:id="333"/>
    </w:p>
    <w:p w14:paraId="25C54CF4">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34" w:name="_Toc31674"/>
      <w:bookmarkStart w:id="335" w:name="_Toc26680"/>
      <w:bookmarkStart w:id="336" w:name="_Toc29472"/>
      <w:r>
        <w:rPr>
          <w:rFonts w:hint="default" w:ascii="Times New Roman" w:hAnsi="Times New Roman" w:cs="Times New Roman"/>
          <w:sz w:val="21"/>
          <w:szCs w:val="21"/>
          <w:highlight w:val="none"/>
          <w:lang w:val="en-US" w:eastAsia="zh-CN"/>
        </w:rPr>
        <w:t>您好！为提升我街道对退休人员的服务质量，特别是改进对行动不便老同志的关怀工作，特开展本次满意度调查。您的真实评价是我们改进的方向，问卷匿名填写，感谢您的支持！（填写耗时约5分钟）</w:t>
      </w:r>
      <w:bookmarkEnd w:id="334"/>
      <w:bookmarkEnd w:id="335"/>
      <w:bookmarkEnd w:id="336"/>
    </w:p>
    <w:p w14:paraId="03CF73DF">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37" w:name="_Toc9673"/>
      <w:bookmarkStart w:id="338" w:name="_Toc13469"/>
      <w:bookmarkStart w:id="339" w:name="_Toc12458"/>
      <w:r>
        <w:rPr>
          <w:rFonts w:hint="default" w:ascii="Times New Roman" w:hAnsi="Times New Roman" w:cs="Times New Roman"/>
          <w:sz w:val="21"/>
          <w:szCs w:val="21"/>
          <w:highlight w:val="none"/>
          <w:lang w:val="en-US" w:eastAsia="zh-CN"/>
        </w:rPr>
        <w:t>一、基础信息（仅用于分类分析）</w:t>
      </w:r>
      <w:bookmarkEnd w:id="337"/>
      <w:bookmarkEnd w:id="338"/>
      <w:bookmarkEnd w:id="339"/>
    </w:p>
    <w:p w14:paraId="19ED5548">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40" w:name="_Toc23527"/>
      <w:bookmarkStart w:id="341" w:name="_Toc13026"/>
      <w:bookmarkStart w:id="342" w:name="_Toc12280"/>
      <w:r>
        <w:rPr>
          <w:rFonts w:hint="default" w:ascii="Times New Roman" w:hAnsi="Times New Roman" w:cs="Times New Roman"/>
          <w:sz w:val="21"/>
          <w:szCs w:val="21"/>
          <w:highlight w:val="none"/>
          <w:lang w:val="en-US" w:eastAsia="zh-CN"/>
        </w:rPr>
        <w:t>1.  您是否参与了近期街道组织的文体活动？</w:t>
      </w:r>
      <w:bookmarkEnd w:id="340"/>
      <w:bookmarkEnd w:id="341"/>
      <w:bookmarkEnd w:id="342"/>
      <w:r>
        <w:rPr>
          <w:rFonts w:hint="default" w:ascii="Times New Roman" w:hAnsi="Times New Roman" w:cs="Times New Roman"/>
          <w:sz w:val="21"/>
          <w:szCs w:val="21"/>
          <w:highlight w:val="none"/>
          <w:lang w:val="en-US" w:eastAsia="zh-CN"/>
        </w:rPr>
        <w:t xml:space="preserve">  </w:t>
      </w:r>
    </w:p>
    <w:p w14:paraId="357B7FA6">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43" w:name="_Toc28096"/>
      <w:bookmarkStart w:id="344" w:name="_Toc14907"/>
      <w:bookmarkStart w:id="345" w:name="_Toc15492"/>
      <w:r>
        <w:rPr>
          <w:rFonts w:hint="default" w:ascii="Times New Roman" w:hAnsi="Times New Roman" w:cs="Times New Roman"/>
          <w:sz w:val="21"/>
          <w:szCs w:val="21"/>
          <w:highlight w:val="none"/>
          <w:lang w:val="en-US" w:eastAsia="zh-CN"/>
        </w:rPr>
        <w:t>[ ] 是 → 请跳至第3题</w:t>
      </w:r>
      <w:bookmarkEnd w:id="343"/>
      <w:bookmarkEnd w:id="344"/>
      <w:bookmarkEnd w:id="345"/>
      <w:r>
        <w:rPr>
          <w:rFonts w:hint="default" w:ascii="Times New Roman" w:hAnsi="Times New Roman" w:cs="Times New Roman"/>
          <w:sz w:val="21"/>
          <w:szCs w:val="21"/>
          <w:highlight w:val="none"/>
          <w:lang w:val="en-US" w:eastAsia="zh-CN"/>
        </w:rPr>
        <w:t xml:space="preserve">  </w:t>
      </w:r>
    </w:p>
    <w:p w14:paraId="08843B45">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46" w:name="_Toc7255"/>
      <w:bookmarkStart w:id="347" w:name="_Toc17898"/>
      <w:bookmarkStart w:id="348" w:name="_Toc32540"/>
      <w:r>
        <w:rPr>
          <w:rFonts w:hint="default" w:ascii="Times New Roman" w:hAnsi="Times New Roman" w:cs="Times New Roman"/>
          <w:sz w:val="21"/>
          <w:szCs w:val="21"/>
          <w:highlight w:val="none"/>
          <w:lang w:val="en-US" w:eastAsia="zh-CN"/>
        </w:rPr>
        <w:t>[ ] 否 → 请继续回答</w:t>
      </w:r>
      <w:bookmarkEnd w:id="346"/>
      <w:bookmarkEnd w:id="347"/>
      <w:bookmarkEnd w:id="348"/>
    </w:p>
    <w:p w14:paraId="3970ECBF">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49" w:name="_Toc3037"/>
      <w:bookmarkStart w:id="350" w:name="_Toc20907"/>
      <w:bookmarkStart w:id="351" w:name="_Toc28997"/>
      <w:r>
        <w:rPr>
          <w:rFonts w:hint="default" w:ascii="Times New Roman" w:hAnsi="Times New Roman" w:cs="Times New Roman"/>
          <w:sz w:val="21"/>
          <w:szCs w:val="21"/>
          <w:highlight w:val="none"/>
          <w:lang w:val="en-US" w:eastAsia="zh-CN"/>
        </w:rPr>
        <w:t>2.  您未参与活动的主要原因？（可多选)</w:t>
      </w:r>
      <w:bookmarkEnd w:id="349"/>
      <w:bookmarkEnd w:id="350"/>
      <w:bookmarkEnd w:id="351"/>
      <w:r>
        <w:rPr>
          <w:rFonts w:hint="default" w:ascii="Times New Roman" w:hAnsi="Times New Roman" w:cs="Times New Roman"/>
          <w:sz w:val="21"/>
          <w:szCs w:val="21"/>
          <w:highlight w:val="none"/>
          <w:lang w:val="en-US" w:eastAsia="zh-CN"/>
        </w:rPr>
        <w:t xml:space="preserve">  </w:t>
      </w:r>
    </w:p>
    <w:p w14:paraId="6E02CA6C">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52" w:name="_Toc74"/>
      <w:bookmarkStart w:id="353" w:name="_Toc26086"/>
      <w:bookmarkStart w:id="354" w:name="_Toc10558"/>
      <w:r>
        <w:rPr>
          <w:rFonts w:hint="default" w:ascii="Times New Roman" w:hAnsi="Times New Roman" w:cs="Times New Roman"/>
          <w:sz w:val="21"/>
          <w:szCs w:val="21"/>
          <w:highlight w:val="none"/>
          <w:lang w:val="en-US" w:eastAsia="zh-CN"/>
        </w:rPr>
        <w:t>[ ] 行动不便/身体原因</w:t>
      </w:r>
      <w:bookmarkEnd w:id="352"/>
      <w:bookmarkEnd w:id="353"/>
      <w:bookmarkEnd w:id="354"/>
      <w:r>
        <w:rPr>
          <w:rFonts w:hint="default" w:ascii="Times New Roman" w:hAnsi="Times New Roman" w:cs="Times New Roman"/>
          <w:sz w:val="21"/>
          <w:szCs w:val="21"/>
          <w:highlight w:val="none"/>
          <w:lang w:val="en-US" w:eastAsia="zh-CN"/>
        </w:rPr>
        <w:t xml:space="preserve">  </w:t>
      </w:r>
    </w:p>
    <w:p w14:paraId="205E4F0A">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55" w:name="_Toc24867"/>
      <w:bookmarkStart w:id="356" w:name="_Toc31589"/>
      <w:bookmarkStart w:id="357" w:name="_Toc30464"/>
      <w:r>
        <w:rPr>
          <w:rFonts w:hint="default" w:ascii="Times New Roman" w:hAnsi="Times New Roman" w:cs="Times New Roman"/>
          <w:sz w:val="21"/>
          <w:szCs w:val="21"/>
          <w:highlight w:val="none"/>
          <w:lang w:val="en-US" w:eastAsia="zh-CN"/>
        </w:rPr>
        <w:t>[ ] 对活动内容不感兴趣</w:t>
      </w:r>
      <w:bookmarkEnd w:id="355"/>
      <w:bookmarkEnd w:id="356"/>
      <w:bookmarkEnd w:id="357"/>
      <w:r>
        <w:rPr>
          <w:rFonts w:hint="default" w:ascii="Times New Roman" w:hAnsi="Times New Roman" w:cs="Times New Roman"/>
          <w:sz w:val="21"/>
          <w:szCs w:val="21"/>
          <w:highlight w:val="none"/>
          <w:lang w:val="en-US" w:eastAsia="zh-CN"/>
        </w:rPr>
        <w:t xml:space="preserve">  </w:t>
      </w:r>
    </w:p>
    <w:p w14:paraId="142EDFB3">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58" w:name="_Toc23304"/>
      <w:bookmarkStart w:id="359" w:name="_Toc12343"/>
      <w:bookmarkStart w:id="360" w:name="_Toc18334"/>
      <w:r>
        <w:rPr>
          <w:rFonts w:hint="default" w:ascii="Times New Roman" w:hAnsi="Times New Roman" w:cs="Times New Roman"/>
          <w:sz w:val="21"/>
          <w:szCs w:val="21"/>
          <w:highlight w:val="none"/>
          <w:lang w:val="en-US" w:eastAsia="zh-CN"/>
        </w:rPr>
        <w:t>[ ] 时间/地点不便</w:t>
      </w:r>
      <w:bookmarkEnd w:id="358"/>
      <w:bookmarkEnd w:id="359"/>
      <w:bookmarkEnd w:id="360"/>
      <w:r>
        <w:rPr>
          <w:rFonts w:hint="default" w:ascii="Times New Roman" w:hAnsi="Times New Roman" w:cs="Times New Roman"/>
          <w:sz w:val="21"/>
          <w:szCs w:val="21"/>
          <w:highlight w:val="none"/>
          <w:lang w:val="en-US" w:eastAsia="zh-CN"/>
        </w:rPr>
        <w:t xml:space="preserve">  </w:t>
      </w:r>
    </w:p>
    <w:p w14:paraId="1C9854A5">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61" w:name="_Toc5700"/>
      <w:bookmarkStart w:id="362" w:name="_Toc23592"/>
      <w:bookmarkStart w:id="363" w:name="_Toc9946"/>
      <w:r>
        <w:rPr>
          <w:rFonts w:hint="default" w:ascii="Times New Roman" w:hAnsi="Times New Roman" w:cs="Times New Roman"/>
          <w:sz w:val="21"/>
          <w:szCs w:val="21"/>
          <w:highlight w:val="none"/>
          <w:lang w:val="en-US" w:eastAsia="zh-CN"/>
        </w:rPr>
        <w:t>[ ] 未收到通知</w:t>
      </w:r>
      <w:bookmarkEnd w:id="361"/>
      <w:bookmarkEnd w:id="362"/>
      <w:bookmarkEnd w:id="363"/>
      <w:r>
        <w:rPr>
          <w:rFonts w:hint="default" w:ascii="Times New Roman" w:hAnsi="Times New Roman" w:cs="Times New Roman"/>
          <w:sz w:val="21"/>
          <w:szCs w:val="21"/>
          <w:highlight w:val="none"/>
          <w:lang w:val="en-US" w:eastAsia="zh-CN"/>
        </w:rPr>
        <w:t xml:space="preserve">  </w:t>
      </w:r>
    </w:p>
    <w:p w14:paraId="0214BA96">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64" w:name="_Toc3215"/>
      <w:bookmarkStart w:id="365" w:name="_Toc25041"/>
      <w:bookmarkStart w:id="366" w:name="_Toc21625"/>
      <w:r>
        <w:rPr>
          <w:rFonts w:hint="default" w:ascii="Times New Roman" w:hAnsi="Times New Roman" w:cs="Times New Roman"/>
          <w:sz w:val="21"/>
          <w:szCs w:val="21"/>
          <w:highlight w:val="none"/>
          <w:lang w:val="en-US" w:eastAsia="zh-CN"/>
        </w:rPr>
        <w:t>[ ] 其他：_________</w:t>
      </w:r>
      <w:bookmarkEnd w:id="364"/>
      <w:bookmarkEnd w:id="365"/>
      <w:bookmarkEnd w:id="366"/>
    </w:p>
    <w:p w14:paraId="110B3644">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67" w:name="_Toc20074"/>
      <w:bookmarkStart w:id="368" w:name="_Toc24581"/>
      <w:bookmarkStart w:id="369" w:name="_Toc792"/>
      <w:r>
        <w:rPr>
          <w:rFonts w:hint="default" w:ascii="Times New Roman" w:hAnsi="Times New Roman" w:cs="Times New Roman"/>
          <w:sz w:val="21"/>
          <w:szCs w:val="21"/>
          <w:highlight w:val="none"/>
          <w:lang w:val="en-US" w:eastAsia="zh-CN"/>
        </w:rPr>
        <w:t>3.  （若因行动不便未参与）您最希望获得哪类关怀服务？（选1-2项）</w:t>
      </w:r>
      <w:bookmarkEnd w:id="367"/>
      <w:bookmarkEnd w:id="368"/>
      <w:bookmarkEnd w:id="369"/>
      <w:r>
        <w:rPr>
          <w:rFonts w:hint="default" w:ascii="Times New Roman" w:hAnsi="Times New Roman" w:cs="Times New Roman"/>
          <w:sz w:val="21"/>
          <w:szCs w:val="21"/>
          <w:highlight w:val="none"/>
          <w:lang w:val="en-US" w:eastAsia="zh-CN"/>
        </w:rPr>
        <w:t xml:space="preserve">  </w:t>
      </w:r>
    </w:p>
    <w:p w14:paraId="5D4B1353">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70" w:name="_Toc30805"/>
      <w:bookmarkStart w:id="371" w:name="_Toc24691"/>
      <w:bookmarkStart w:id="372" w:name="_Toc25874"/>
      <w:r>
        <w:rPr>
          <w:rFonts w:hint="default" w:ascii="Times New Roman" w:hAnsi="Times New Roman" w:cs="Times New Roman"/>
          <w:sz w:val="21"/>
          <w:szCs w:val="21"/>
          <w:highlight w:val="none"/>
          <w:lang w:val="en-US" w:eastAsia="zh-CN"/>
        </w:rPr>
        <w:t>[ ] 定期上门慰问</w:t>
      </w:r>
      <w:bookmarkEnd w:id="370"/>
      <w:bookmarkEnd w:id="371"/>
      <w:bookmarkEnd w:id="372"/>
      <w:r>
        <w:rPr>
          <w:rFonts w:hint="default" w:ascii="Times New Roman" w:hAnsi="Times New Roman" w:cs="Times New Roman"/>
          <w:sz w:val="21"/>
          <w:szCs w:val="21"/>
          <w:highlight w:val="none"/>
          <w:lang w:val="en-US" w:eastAsia="zh-CN"/>
        </w:rPr>
        <w:t xml:space="preserve">  </w:t>
      </w:r>
    </w:p>
    <w:p w14:paraId="6C20F5AE">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73" w:name="_Toc3912"/>
      <w:bookmarkStart w:id="374" w:name="_Toc21262"/>
      <w:bookmarkStart w:id="375" w:name="_Toc7612"/>
      <w:r>
        <w:rPr>
          <w:rFonts w:hint="default" w:ascii="Times New Roman" w:hAnsi="Times New Roman" w:cs="Times New Roman"/>
          <w:sz w:val="21"/>
          <w:szCs w:val="21"/>
          <w:highlight w:val="none"/>
          <w:lang w:val="en-US" w:eastAsia="zh-CN"/>
        </w:rPr>
        <w:t>[ ] 电话关怀问候</w:t>
      </w:r>
      <w:bookmarkEnd w:id="373"/>
      <w:bookmarkEnd w:id="374"/>
      <w:bookmarkEnd w:id="375"/>
      <w:r>
        <w:rPr>
          <w:rFonts w:hint="default" w:ascii="Times New Roman" w:hAnsi="Times New Roman" w:cs="Times New Roman"/>
          <w:sz w:val="21"/>
          <w:szCs w:val="21"/>
          <w:highlight w:val="none"/>
          <w:lang w:val="en-US" w:eastAsia="zh-CN"/>
        </w:rPr>
        <w:t xml:space="preserve">  </w:t>
      </w:r>
    </w:p>
    <w:p w14:paraId="23183DBF">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76" w:name="_Toc1193"/>
      <w:bookmarkStart w:id="377" w:name="_Toc23296"/>
      <w:bookmarkStart w:id="378" w:name="_Toc4932"/>
      <w:r>
        <w:rPr>
          <w:rFonts w:hint="default" w:ascii="Times New Roman" w:hAnsi="Times New Roman" w:cs="Times New Roman"/>
          <w:sz w:val="21"/>
          <w:szCs w:val="21"/>
          <w:highlight w:val="none"/>
          <w:lang w:val="en-US" w:eastAsia="zh-CN"/>
        </w:rPr>
        <w:t>[ ] 生活帮扶（送餐、维修等）</w:t>
      </w:r>
      <w:bookmarkEnd w:id="376"/>
      <w:bookmarkEnd w:id="377"/>
      <w:bookmarkEnd w:id="378"/>
      <w:r>
        <w:rPr>
          <w:rFonts w:hint="default" w:ascii="Times New Roman" w:hAnsi="Times New Roman" w:cs="Times New Roman"/>
          <w:sz w:val="21"/>
          <w:szCs w:val="21"/>
          <w:highlight w:val="none"/>
          <w:lang w:val="en-US" w:eastAsia="zh-CN"/>
        </w:rPr>
        <w:t xml:space="preserve">  </w:t>
      </w:r>
    </w:p>
    <w:p w14:paraId="4936E6F4">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79" w:name="_Toc13161"/>
      <w:bookmarkStart w:id="380" w:name="_Toc9293"/>
      <w:bookmarkStart w:id="381" w:name="_Toc2297"/>
      <w:r>
        <w:rPr>
          <w:rFonts w:hint="default" w:ascii="Times New Roman" w:hAnsi="Times New Roman" w:cs="Times New Roman"/>
          <w:sz w:val="21"/>
          <w:szCs w:val="21"/>
          <w:highlight w:val="none"/>
          <w:lang w:val="en-US" w:eastAsia="zh-CN"/>
        </w:rPr>
        <w:t>[ ] 健康服务（义诊、就医协助）</w:t>
      </w:r>
      <w:bookmarkEnd w:id="379"/>
      <w:bookmarkEnd w:id="380"/>
      <w:bookmarkEnd w:id="381"/>
      <w:r>
        <w:rPr>
          <w:rFonts w:hint="default" w:ascii="Times New Roman" w:hAnsi="Times New Roman" w:cs="Times New Roman"/>
          <w:sz w:val="21"/>
          <w:szCs w:val="21"/>
          <w:highlight w:val="none"/>
          <w:lang w:val="en-US" w:eastAsia="zh-CN"/>
        </w:rPr>
        <w:t xml:space="preserve">  </w:t>
      </w:r>
    </w:p>
    <w:p w14:paraId="2BB37A91">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82" w:name="_Toc29401"/>
      <w:bookmarkStart w:id="383" w:name="_Toc21844"/>
      <w:bookmarkStart w:id="384" w:name="_Toc25550"/>
      <w:r>
        <w:rPr>
          <w:rFonts w:hint="default" w:ascii="Times New Roman" w:hAnsi="Times New Roman" w:cs="Times New Roman"/>
          <w:sz w:val="21"/>
          <w:szCs w:val="21"/>
          <w:highlight w:val="none"/>
          <w:lang w:val="en-US" w:eastAsia="zh-CN"/>
        </w:rPr>
        <w:t>[ ] 其他：_________</w:t>
      </w:r>
      <w:bookmarkEnd w:id="382"/>
      <w:bookmarkEnd w:id="383"/>
      <w:bookmarkEnd w:id="384"/>
    </w:p>
    <w:p w14:paraId="2AE269D8">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p>
    <w:p w14:paraId="73272F26">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85" w:name="_Toc14081"/>
      <w:bookmarkStart w:id="386" w:name="_Toc10335"/>
      <w:bookmarkStart w:id="387" w:name="_Toc13902"/>
      <w:r>
        <w:rPr>
          <w:rFonts w:hint="default" w:ascii="Times New Roman" w:hAnsi="Times New Roman" w:cs="Times New Roman"/>
          <w:sz w:val="21"/>
          <w:szCs w:val="21"/>
          <w:highlight w:val="none"/>
          <w:lang w:val="en-US" w:eastAsia="zh-CN"/>
        </w:rPr>
        <w:t>二、满意度评价（请根据感受勾选）</w:t>
      </w:r>
      <w:bookmarkEnd w:id="385"/>
      <w:bookmarkEnd w:id="386"/>
      <w:bookmarkEnd w:id="387"/>
    </w:p>
    <w:p w14:paraId="40BB3B10">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p>
    <w:p w14:paraId="0F3D0115">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88" w:name="_Toc7283"/>
      <w:bookmarkStart w:id="389" w:name="_Toc2922"/>
      <w:bookmarkStart w:id="390" w:name="_Toc29179"/>
      <w:r>
        <w:rPr>
          <w:rFonts w:hint="default" w:ascii="Times New Roman" w:hAnsi="Times New Roman" w:cs="Times New Roman"/>
          <w:sz w:val="21"/>
          <w:szCs w:val="21"/>
          <w:highlight w:val="none"/>
          <w:lang w:val="en-US" w:eastAsia="zh-CN"/>
        </w:rPr>
        <w:t>评价内容              非常满意    比较满意     一般      不太满意   非常不满意</w:t>
      </w:r>
      <w:bookmarkEnd w:id="388"/>
      <w:bookmarkEnd w:id="389"/>
      <w:bookmarkEnd w:id="390"/>
      <w:r>
        <w:rPr>
          <w:rFonts w:hint="default" w:ascii="Times New Roman" w:hAnsi="Times New Roman" w:cs="Times New Roman"/>
          <w:sz w:val="21"/>
          <w:szCs w:val="21"/>
          <w:highlight w:val="none"/>
          <w:lang w:val="en-US" w:eastAsia="zh-CN"/>
        </w:rPr>
        <w:t xml:space="preserve"> </w:t>
      </w:r>
    </w:p>
    <w:p w14:paraId="70CAF09D">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91" w:name="_Toc1385"/>
      <w:bookmarkStart w:id="392" w:name="_Toc17803"/>
      <w:bookmarkStart w:id="393" w:name="_Toc21102"/>
      <w:r>
        <w:rPr>
          <w:rFonts w:hint="default" w:ascii="Times New Roman" w:hAnsi="Times New Roman" w:cs="Times New Roman"/>
          <w:sz w:val="21"/>
          <w:szCs w:val="21"/>
          <w:highlight w:val="none"/>
          <w:lang w:val="en-US" w:eastAsia="zh-CN"/>
        </w:rPr>
        <w:t>文体活动组织总体满意度     [ ]         [ ]         [ ]         [ ]         [ ]</w:t>
      </w:r>
      <w:bookmarkEnd w:id="391"/>
      <w:bookmarkEnd w:id="392"/>
      <w:bookmarkEnd w:id="393"/>
      <w:r>
        <w:rPr>
          <w:rFonts w:hint="default" w:ascii="Times New Roman" w:hAnsi="Times New Roman" w:cs="Times New Roman"/>
          <w:sz w:val="21"/>
          <w:szCs w:val="21"/>
          <w:highlight w:val="none"/>
          <w:lang w:val="en-US" w:eastAsia="zh-CN"/>
        </w:rPr>
        <w:t xml:space="preserve">         </w:t>
      </w:r>
    </w:p>
    <w:p w14:paraId="2EC920BD">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394" w:name="_Toc18210"/>
      <w:bookmarkStart w:id="395" w:name="_Toc13112"/>
      <w:bookmarkStart w:id="396" w:name="_Toc11490"/>
      <w:r>
        <w:rPr>
          <w:rFonts w:hint="default" w:ascii="Times New Roman" w:hAnsi="Times New Roman" w:cs="Times New Roman"/>
          <w:sz w:val="21"/>
          <w:szCs w:val="21"/>
          <w:highlight w:val="none"/>
          <w:lang w:val="en-US" w:eastAsia="zh-CN"/>
        </w:rPr>
        <w:t>保安保洁服务总体满意度     [ ]         [ ]         [ ]         [ ]         [ ]</w:t>
      </w:r>
      <w:bookmarkEnd w:id="394"/>
      <w:bookmarkEnd w:id="395"/>
      <w:bookmarkEnd w:id="396"/>
      <w:r>
        <w:rPr>
          <w:rFonts w:hint="default" w:ascii="Times New Roman" w:hAnsi="Times New Roman" w:cs="Times New Roman"/>
          <w:sz w:val="21"/>
          <w:szCs w:val="21"/>
          <w:highlight w:val="none"/>
          <w:lang w:val="en-US" w:eastAsia="zh-CN"/>
        </w:rPr>
        <w:t xml:space="preserve">         </w:t>
      </w:r>
    </w:p>
    <w:p w14:paraId="4CBA1453">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397" w:name="_Toc14135"/>
      <w:bookmarkStart w:id="398" w:name="_Toc24516"/>
      <w:bookmarkStart w:id="399" w:name="_Toc10138"/>
      <w:r>
        <w:rPr>
          <w:rFonts w:hint="default" w:ascii="Times New Roman" w:hAnsi="Times New Roman" w:cs="Times New Roman"/>
          <w:sz w:val="21"/>
          <w:szCs w:val="21"/>
          <w:highlight w:val="none"/>
          <w:lang w:val="en-US" w:eastAsia="zh-CN"/>
        </w:rPr>
        <w:t>6. 活动信息通知及时性    [ ]         [ ]         [ ]         [ ]         [ ]</w:t>
      </w:r>
      <w:bookmarkEnd w:id="397"/>
      <w:bookmarkEnd w:id="398"/>
      <w:bookmarkEnd w:id="399"/>
      <w:r>
        <w:rPr>
          <w:rFonts w:hint="default" w:ascii="Times New Roman" w:hAnsi="Times New Roman" w:cs="Times New Roman"/>
          <w:sz w:val="21"/>
          <w:szCs w:val="21"/>
          <w:highlight w:val="none"/>
          <w:lang w:val="en-US" w:eastAsia="zh-CN"/>
        </w:rPr>
        <w:t xml:space="preserve">         </w:t>
      </w:r>
    </w:p>
    <w:p w14:paraId="6525D6F7">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400" w:name="_Toc30122"/>
      <w:bookmarkStart w:id="401" w:name="_Toc26983"/>
      <w:bookmarkStart w:id="402" w:name="_Toc25559"/>
      <w:r>
        <w:rPr>
          <w:rFonts w:hint="default" w:ascii="Times New Roman" w:hAnsi="Times New Roman" w:cs="Times New Roman"/>
          <w:sz w:val="21"/>
          <w:szCs w:val="21"/>
          <w:highlight w:val="none"/>
          <w:lang w:val="en-US" w:eastAsia="zh-CN"/>
        </w:rPr>
        <w:t>7. 对行动不便人员的关怀度[ ]         [ ]         [ ]         [ ]         [ ]</w:t>
      </w:r>
      <w:bookmarkEnd w:id="400"/>
      <w:bookmarkEnd w:id="401"/>
      <w:bookmarkEnd w:id="402"/>
      <w:r>
        <w:rPr>
          <w:rFonts w:hint="default" w:ascii="Times New Roman" w:hAnsi="Times New Roman" w:cs="Times New Roman"/>
          <w:sz w:val="21"/>
          <w:szCs w:val="21"/>
          <w:highlight w:val="none"/>
          <w:lang w:val="en-US" w:eastAsia="zh-CN"/>
        </w:rPr>
        <w:t xml:space="preserve">         </w:t>
      </w:r>
    </w:p>
    <w:p w14:paraId="5A7D322C">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403" w:name="_Toc5389"/>
      <w:bookmarkStart w:id="404" w:name="_Toc23960"/>
      <w:bookmarkStart w:id="405" w:name="_Toc26888"/>
      <w:r>
        <w:rPr>
          <w:rFonts w:hint="default" w:ascii="Times New Roman" w:hAnsi="Times New Roman" w:cs="Times New Roman"/>
          <w:sz w:val="21"/>
          <w:szCs w:val="21"/>
          <w:highlight w:val="none"/>
          <w:lang w:val="en-US" w:eastAsia="zh-CN"/>
        </w:rPr>
        <w:t>8. 街道退休服务的整体水平[ ]         [ ]         [ ]         [ ]         [ ]</w:t>
      </w:r>
      <w:bookmarkEnd w:id="403"/>
      <w:bookmarkEnd w:id="404"/>
      <w:bookmarkEnd w:id="405"/>
      <w:r>
        <w:rPr>
          <w:rFonts w:hint="default" w:ascii="Times New Roman" w:hAnsi="Times New Roman" w:cs="Times New Roman"/>
          <w:sz w:val="21"/>
          <w:szCs w:val="21"/>
          <w:highlight w:val="none"/>
          <w:lang w:val="en-US" w:eastAsia="zh-CN"/>
        </w:rPr>
        <w:t xml:space="preserve">         </w:t>
      </w:r>
    </w:p>
    <w:p w14:paraId="2C024484">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406" w:name="_Toc12908"/>
      <w:bookmarkStart w:id="407" w:name="_Toc20718"/>
      <w:bookmarkStart w:id="408" w:name="_Toc20056"/>
      <w:r>
        <w:rPr>
          <w:rFonts w:hint="default" w:ascii="Times New Roman" w:hAnsi="Times New Roman" w:cs="Times New Roman"/>
          <w:sz w:val="21"/>
          <w:szCs w:val="21"/>
          <w:highlight w:val="none"/>
          <w:lang w:val="en-US" w:eastAsia="zh-CN"/>
        </w:rPr>
        <w:t>三、专项反馈（请按需填写）</w:t>
      </w:r>
      <w:bookmarkEnd w:id="406"/>
      <w:bookmarkEnd w:id="407"/>
      <w:bookmarkEnd w:id="408"/>
    </w:p>
    <w:p w14:paraId="0AA4396C">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409" w:name="_Toc9509"/>
      <w:bookmarkStart w:id="410" w:name="_Toc20766"/>
      <w:bookmarkStart w:id="411" w:name="_Toc25529"/>
      <w:r>
        <w:rPr>
          <w:rFonts w:hint="default" w:ascii="Times New Roman" w:hAnsi="Times New Roman" w:cs="Times New Roman"/>
          <w:sz w:val="21"/>
          <w:szCs w:val="21"/>
          <w:highlight w:val="none"/>
          <w:lang w:val="en-US" w:eastAsia="zh-CN"/>
        </w:rPr>
        <w:t>8. 您对改进行动不便人员关怀服务有何建议？</w:t>
      </w:r>
      <w:bookmarkEnd w:id="409"/>
      <w:bookmarkEnd w:id="410"/>
      <w:bookmarkEnd w:id="411"/>
      <w:r>
        <w:rPr>
          <w:rFonts w:hint="default" w:ascii="Times New Roman" w:hAnsi="Times New Roman" w:cs="Times New Roman"/>
          <w:sz w:val="21"/>
          <w:szCs w:val="21"/>
          <w:highlight w:val="none"/>
          <w:lang w:val="en-US" w:eastAsia="zh-CN"/>
        </w:rPr>
        <w:t xml:space="preserve">  </w:t>
      </w:r>
    </w:p>
    <w:p w14:paraId="3A6F468C">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412" w:name="_Toc7269"/>
      <w:bookmarkStart w:id="413" w:name="_Toc9255"/>
      <w:bookmarkStart w:id="414" w:name="_Toc32663"/>
      <w:r>
        <w:rPr>
          <w:rFonts w:hint="default" w:ascii="Times New Roman" w:hAnsi="Times New Roman" w:cs="Times New Roman"/>
          <w:sz w:val="21"/>
          <w:szCs w:val="21"/>
          <w:highlight w:val="none"/>
          <w:lang w:val="en-US" w:eastAsia="zh-CN"/>
        </w:rPr>
        <w:t>_________________________________________________________</w:t>
      </w:r>
      <w:bookmarkEnd w:id="412"/>
      <w:bookmarkEnd w:id="413"/>
      <w:bookmarkEnd w:id="414"/>
      <w:r>
        <w:rPr>
          <w:rFonts w:hint="default" w:ascii="Times New Roman" w:hAnsi="Times New Roman" w:cs="Times New Roman"/>
          <w:sz w:val="21"/>
          <w:szCs w:val="21"/>
          <w:highlight w:val="none"/>
          <w:lang w:val="en-US" w:eastAsia="zh-CN"/>
        </w:rPr>
        <w:t xml:space="preserve">  </w:t>
      </w:r>
    </w:p>
    <w:p w14:paraId="7A9BFA4A">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415" w:name="_Toc21528"/>
      <w:bookmarkStart w:id="416" w:name="_Toc18868"/>
      <w:bookmarkStart w:id="417" w:name="_Toc30875"/>
      <w:r>
        <w:rPr>
          <w:rFonts w:hint="default" w:ascii="Times New Roman" w:hAnsi="Times New Roman" w:cs="Times New Roman"/>
          <w:sz w:val="21"/>
          <w:szCs w:val="21"/>
          <w:highlight w:val="none"/>
          <w:lang w:val="en-US" w:eastAsia="zh-CN"/>
        </w:rPr>
        <w:t>9. 其他意见或期望：</w:t>
      </w:r>
      <w:bookmarkEnd w:id="415"/>
      <w:bookmarkEnd w:id="416"/>
      <w:bookmarkEnd w:id="417"/>
      <w:r>
        <w:rPr>
          <w:rFonts w:hint="default" w:ascii="Times New Roman" w:hAnsi="Times New Roman" w:cs="Times New Roman"/>
          <w:sz w:val="21"/>
          <w:szCs w:val="21"/>
          <w:highlight w:val="none"/>
          <w:lang w:val="en-US" w:eastAsia="zh-CN"/>
        </w:rPr>
        <w:t xml:space="preserve">  </w:t>
      </w:r>
    </w:p>
    <w:p w14:paraId="51A00C9E">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   </w:t>
      </w:r>
      <w:bookmarkStart w:id="418" w:name="_Toc28865"/>
      <w:bookmarkStart w:id="419" w:name="_Toc16197"/>
      <w:bookmarkStart w:id="420" w:name="_Toc30710"/>
      <w:r>
        <w:rPr>
          <w:rFonts w:hint="default" w:ascii="Times New Roman" w:hAnsi="Times New Roman" w:cs="Times New Roman"/>
          <w:sz w:val="21"/>
          <w:szCs w:val="21"/>
          <w:highlight w:val="none"/>
          <w:lang w:val="en-US" w:eastAsia="zh-CN"/>
        </w:rPr>
        <w:t>_________________________________________________________</w:t>
      </w:r>
      <w:bookmarkEnd w:id="418"/>
      <w:bookmarkEnd w:id="419"/>
      <w:bookmarkEnd w:id="420"/>
    </w:p>
    <w:p w14:paraId="5D9EFDB7">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p>
    <w:p w14:paraId="310DC53E">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sz w:val="21"/>
          <w:szCs w:val="21"/>
          <w:highlight w:val="none"/>
          <w:lang w:val="en-US" w:eastAsia="zh-CN"/>
        </w:rPr>
      </w:pPr>
      <w:bookmarkStart w:id="421" w:name="_Toc6508"/>
      <w:bookmarkStart w:id="422" w:name="_Toc13779"/>
      <w:bookmarkStart w:id="423" w:name="_Toc6955"/>
      <w:r>
        <w:rPr>
          <w:rFonts w:hint="default" w:ascii="Times New Roman" w:hAnsi="Times New Roman" w:cs="Times New Roman"/>
          <w:sz w:val="21"/>
          <w:szCs w:val="21"/>
          <w:highlight w:val="none"/>
          <w:lang w:val="en-US" w:eastAsia="zh-CN"/>
        </w:rPr>
        <w:t>再次感谢您的宝贵意见！我们将认真改进服务！</w:t>
      </w:r>
      <w:bookmarkEnd w:id="421"/>
      <w:bookmarkEnd w:id="422"/>
      <w:bookmarkEnd w:id="423"/>
      <w:r>
        <w:rPr>
          <w:rFonts w:hint="default" w:ascii="Times New Roman" w:hAnsi="Times New Roman" w:cs="Times New Roman"/>
          <w:sz w:val="21"/>
          <w:szCs w:val="21"/>
          <w:highlight w:val="none"/>
          <w:lang w:val="en-US" w:eastAsia="zh-CN"/>
        </w:rPr>
        <w:t xml:space="preserve">  </w:t>
      </w:r>
    </w:p>
    <w:p w14:paraId="2415CA1D">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highlight w:val="none"/>
          <w:lang w:val="en-US" w:eastAsia="zh-CN"/>
        </w:rPr>
      </w:pPr>
      <w:bookmarkStart w:id="424" w:name="_Toc7479"/>
      <w:bookmarkStart w:id="425" w:name="_Toc27725"/>
      <w:bookmarkStart w:id="426" w:name="_Toc22309"/>
      <w:r>
        <w:rPr>
          <w:rFonts w:hint="default" w:ascii="Times New Roman" w:hAnsi="Times New Roman" w:cs="Times New Roman"/>
          <w:sz w:val="21"/>
          <w:szCs w:val="21"/>
          <w:highlight w:val="none"/>
          <w:lang w:val="en-US" w:eastAsia="zh-CN"/>
        </w:rPr>
        <w:t>昆仑路街道办事处</w:t>
      </w:r>
      <w:bookmarkEnd w:id="424"/>
      <w:bookmarkEnd w:id="425"/>
      <w:bookmarkEnd w:id="426"/>
    </w:p>
    <w:p w14:paraId="5DBE4876">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highlight w:val="none"/>
          <w:lang w:val="en-US" w:eastAsia="zh-CN"/>
        </w:rPr>
        <w:sectPr>
          <w:pgSz w:w="11906" w:h="16838"/>
          <w:pgMar w:top="1440" w:right="1800" w:bottom="1440" w:left="1800" w:header="851" w:footer="992" w:gutter="0"/>
          <w:pgNumType w:fmt="decimal"/>
          <w:cols w:space="425" w:num="1"/>
          <w:docGrid w:type="lines" w:linePitch="312" w:charSpace="0"/>
        </w:sectPr>
      </w:pPr>
    </w:p>
    <w:p w14:paraId="30C2FEC1">
      <w:pPr>
        <w:keepNext w:val="0"/>
        <w:keepLines w:val="0"/>
        <w:pageBreakBefore w:val="0"/>
        <w:numPr>
          <w:ilvl w:val="0"/>
          <w:numId w:val="0"/>
        </w:numPr>
        <w:wordWrap/>
        <w:overflowPunct/>
        <w:bidi w:val="0"/>
        <w:ind w:left="0" w:leftChars="0" w:firstLine="0" w:firstLineChars="0"/>
        <w:jc w:val="both"/>
        <w:outlineLvl w:val="0"/>
        <w:rPr>
          <w:rFonts w:hint="default" w:ascii="Times New Roman" w:hAnsi="Times New Roman" w:cs="Times New Roman"/>
          <w:highlight w:val="none"/>
          <w:lang w:val="en-US" w:eastAsia="zh-CN"/>
        </w:rPr>
      </w:pPr>
      <w:bookmarkStart w:id="427" w:name="_Toc21271"/>
      <w:bookmarkStart w:id="428" w:name="_Toc17871"/>
      <w:bookmarkStart w:id="429" w:name="_Toc833"/>
      <w:bookmarkStart w:id="430" w:name="_Toc11335"/>
      <w:r>
        <w:rPr>
          <w:rFonts w:hint="default" w:ascii="Times New Roman" w:hAnsi="Times New Roman" w:cs="Times New Roman"/>
          <w:highlight w:val="none"/>
          <w:lang w:val="en-US" w:eastAsia="zh-CN"/>
        </w:rPr>
        <w:t>附件5：现场调研照片</w:t>
      </w:r>
      <w:bookmarkEnd w:id="427"/>
      <w:bookmarkEnd w:id="428"/>
      <w:bookmarkEnd w:id="429"/>
      <w:bookmarkEnd w:id="430"/>
    </w:p>
    <w:p w14:paraId="0D9CB46E">
      <w:pPr>
        <w:keepNext w:val="0"/>
        <w:keepLines w:val="0"/>
        <w:pageBreakBefore w:val="0"/>
        <w:numPr>
          <w:ilvl w:val="0"/>
          <w:numId w:val="0"/>
        </w:numPr>
        <w:wordWrap/>
        <w:overflowPunct/>
        <w:bidi w:val="0"/>
        <w:spacing w:line="240" w:lineRule="auto"/>
        <w:ind w:left="0" w:leftChars="0" w:firstLine="0" w:firstLineChars="0"/>
        <w:jc w:val="both"/>
        <w:outlineLvl w:val="9"/>
        <w:rPr>
          <w:rFonts w:hint="default" w:ascii="Times New Roman" w:hAnsi="Times New Roman" w:cs="Times New Roman"/>
          <w:highlight w:val="none"/>
          <w:lang w:val="en-US" w:eastAsia="zh-CN"/>
        </w:rPr>
      </w:pPr>
      <w:bookmarkStart w:id="431" w:name="_Toc3103"/>
      <w:r>
        <w:rPr>
          <w:rFonts w:hint="default" w:ascii="Times New Roman" w:hAnsi="Times New Roman" w:cs="Times New Roman"/>
          <w:highlight w:val="none"/>
          <w:lang w:val="en-US" w:eastAsia="zh-CN"/>
        </w:rPr>
        <w:br w:type="textWrapping"/>
      </w:r>
      <w:bookmarkEnd w:id="431"/>
      <w:r>
        <w:rPr>
          <w:rFonts w:hint="default" w:ascii="Times New Roman" w:hAnsi="Times New Roman" w:cs="Times New Roman"/>
          <w:highlight w:val="none"/>
          <w:lang w:val="en-US" w:eastAsia="zh-CN"/>
        </w:rPr>
        <w:drawing>
          <wp:inline distT="0" distB="0" distL="114300" distR="114300">
            <wp:extent cx="5268595" cy="3950335"/>
            <wp:effectExtent l="0" t="0" r="8255" b="12065"/>
            <wp:docPr id="1" name="图片 1" descr="20380f59973edc3abd3cf93981f89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380f59973edc3abd3cf93981f895b"/>
                    <pic:cNvPicPr>
                      <a:picLocks noChangeAspect="1"/>
                    </pic:cNvPicPr>
                  </pic:nvPicPr>
                  <pic:blipFill>
                    <a:blip r:embed="rId12"/>
                    <a:stretch>
                      <a:fillRect/>
                    </a:stretch>
                  </pic:blipFill>
                  <pic:spPr>
                    <a:xfrm>
                      <a:off x="0" y="0"/>
                      <a:ext cx="5268595" cy="3950335"/>
                    </a:xfrm>
                    <a:prstGeom prst="rect">
                      <a:avLst/>
                    </a:prstGeom>
                  </pic:spPr>
                </pic:pic>
              </a:graphicData>
            </a:graphic>
          </wp:inline>
        </w:drawing>
      </w:r>
    </w:p>
    <w:p w14:paraId="3DDB76E9">
      <w:pPr>
        <w:keepNext w:val="0"/>
        <w:keepLines w:val="0"/>
        <w:pageBreakBefore w:val="0"/>
        <w:numPr>
          <w:ilvl w:val="0"/>
          <w:numId w:val="0"/>
        </w:numPr>
        <w:wordWrap/>
        <w:overflowPunct/>
        <w:bidi w:val="0"/>
        <w:spacing w:line="240" w:lineRule="auto"/>
        <w:ind w:left="0" w:leftChars="0" w:firstLine="0" w:firstLineChars="0"/>
        <w:jc w:val="both"/>
        <w:outlineLvl w:val="9"/>
        <w:rPr>
          <w:rFonts w:hint="default" w:ascii="Times New Roman" w:hAnsi="Times New Roman" w:cs="Times New Roman"/>
          <w:highlight w:val="none"/>
          <w:lang w:val="en-US" w:eastAsia="zh-CN"/>
        </w:rPr>
      </w:pPr>
    </w:p>
    <w:p w14:paraId="48EF8B6F">
      <w:pPr>
        <w:keepNext w:val="0"/>
        <w:keepLines w:val="0"/>
        <w:pageBreakBefore w:val="0"/>
        <w:numPr>
          <w:ilvl w:val="0"/>
          <w:numId w:val="0"/>
        </w:numPr>
        <w:wordWrap/>
        <w:overflowPunct/>
        <w:bidi w:val="0"/>
        <w:spacing w:line="240" w:lineRule="auto"/>
        <w:ind w:left="0" w:leftChars="0" w:firstLine="0" w:firstLineChars="0"/>
        <w:jc w:val="both"/>
        <w:outlineLvl w:val="9"/>
        <w:rPr>
          <w:rFonts w:hint="default" w:ascii="Times New Roman" w:hAnsi="Times New Roman" w:cs="Times New Roman"/>
          <w:highlight w:val="none"/>
          <w:lang w:val="en-US" w:eastAsia="zh-CN"/>
        </w:rPr>
      </w:pPr>
    </w:p>
    <w:p w14:paraId="4F280158">
      <w:pPr>
        <w:keepNext w:val="0"/>
        <w:keepLines w:val="0"/>
        <w:pageBreakBefore w:val="0"/>
        <w:numPr>
          <w:ilvl w:val="0"/>
          <w:numId w:val="0"/>
        </w:numPr>
        <w:wordWrap/>
        <w:overflowPunct/>
        <w:bidi w:val="0"/>
        <w:spacing w:line="240" w:lineRule="auto"/>
        <w:ind w:left="0" w:leftChars="0" w:firstLine="0" w:firstLineChars="0"/>
        <w:jc w:val="both"/>
        <w:outlineLvl w:val="9"/>
        <w:rPr>
          <w:rFonts w:hint="default" w:ascii="Times New Roman" w:hAnsi="Times New Roman" w:cs="Times New Roman"/>
          <w:highlight w:val="none"/>
          <w:lang w:val="en-US" w:eastAsia="zh-CN"/>
        </w:rPr>
        <w:sectPr>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cs="Times New Roman"/>
          <w:highlight w:val="none"/>
          <w:lang w:val="en-US" w:eastAsia="zh-CN"/>
        </w:rPr>
        <w:drawing>
          <wp:inline distT="0" distB="0" distL="114300" distR="114300">
            <wp:extent cx="5268595" cy="3950335"/>
            <wp:effectExtent l="0" t="0" r="8255" b="12065"/>
            <wp:docPr id="4" name="图片 4" descr="f72d07ca2a28a831069f55d73b927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72d07ca2a28a831069f55d73b927e7"/>
                    <pic:cNvPicPr>
                      <a:picLocks noChangeAspect="1"/>
                    </pic:cNvPicPr>
                  </pic:nvPicPr>
                  <pic:blipFill>
                    <a:blip r:embed="rId13"/>
                    <a:stretch>
                      <a:fillRect/>
                    </a:stretch>
                  </pic:blipFill>
                  <pic:spPr>
                    <a:xfrm>
                      <a:off x="0" y="0"/>
                      <a:ext cx="5268595" cy="3950335"/>
                    </a:xfrm>
                    <a:prstGeom prst="rect">
                      <a:avLst/>
                    </a:prstGeom>
                  </pic:spPr>
                </pic:pic>
              </a:graphicData>
            </a:graphic>
          </wp:inline>
        </w:drawing>
      </w:r>
    </w:p>
    <w:p w14:paraId="468E3A06">
      <w:pPr>
        <w:spacing w:line="540" w:lineRule="exact"/>
        <w:jc w:val="left"/>
        <w:outlineLvl w:val="0"/>
        <w:rPr>
          <w:rFonts w:ascii="Times New Roman" w:hAnsi="Times New Roman" w:eastAsia="方正小标宋_GBK" w:cs="Times New Roman"/>
          <w:b/>
          <w:kern w:val="0"/>
          <w:sz w:val="48"/>
          <w:szCs w:val="48"/>
          <w:highlight w:val="none"/>
        </w:rPr>
      </w:pPr>
      <w:bookmarkStart w:id="432" w:name="_Toc22633"/>
      <w:bookmarkStart w:id="433" w:name="_Toc12503"/>
      <w:bookmarkStart w:id="434" w:name="_Toc27080"/>
      <w:bookmarkStart w:id="435" w:name="_Toc12271"/>
      <w:r>
        <w:rPr>
          <w:rFonts w:hint="default" w:ascii="Times New Roman" w:hAnsi="Times New Roman" w:cs="Times New Roman"/>
          <w:highlight w:val="none"/>
          <w:lang w:val="en-US" w:eastAsia="zh-CN"/>
        </w:rPr>
        <w:t>附件6：项目单位自评</w:t>
      </w:r>
      <w:r>
        <w:rPr>
          <w:rFonts w:hint="default" w:ascii="Times New Roman" w:hAnsi="Times New Roman" w:cs="Times New Roman"/>
          <w:highlight w:val="none"/>
          <w:lang w:val="en-US" w:eastAsia="zh-CN"/>
        </w:rPr>
        <w:br w:type="textWrapping"/>
      </w:r>
      <w:bookmarkEnd w:id="432"/>
      <w:bookmarkEnd w:id="433"/>
      <w:bookmarkEnd w:id="434"/>
      <w:bookmarkEnd w:id="435"/>
    </w:p>
    <w:p w14:paraId="66668E56">
      <w:pPr>
        <w:spacing w:line="540" w:lineRule="exact"/>
        <w:jc w:val="center"/>
        <w:rPr>
          <w:rFonts w:ascii="Times New Roman" w:hAnsi="Times New Roman" w:eastAsia="方正小标宋_GBK" w:cs="Times New Roman"/>
          <w:b/>
          <w:kern w:val="0"/>
          <w:sz w:val="48"/>
          <w:szCs w:val="48"/>
          <w:highlight w:val="none"/>
        </w:rPr>
      </w:pPr>
    </w:p>
    <w:p w14:paraId="3C3C3B19">
      <w:pPr>
        <w:spacing w:line="540" w:lineRule="exact"/>
        <w:jc w:val="center"/>
        <w:rPr>
          <w:rFonts w:ascii="Times New Roman" w:hAnsi="Times New Roman" w:eastAsia="方正小标宋_GBK" w:cs="Times New Roman"/>
          <w:b/>
          <w:kern w:val="0"/>
          <w:sz w:val="48"/>
          <w:szCs w:val="48"/>
          <w:highlight w:val="none"/>
        </w:rPr>
      </w:pPr>
    </w:p>
    <w:p w14:paraId="127BBEED">
      <w:pPr>
        <w:spacing w:line="540" w:lineRule="exact"/>
        <w:jc w:val="center"/>
        <w:rPr>
          <w:rFonts w:ascii="Times New Roman" w:hAnsi="Times New Roman" w:eastAsia="方正小标宋_GBK" w:cs="Times New Roman"/>
          <w:b/>
          <w:kern w:val="0"/>
          <w:sz w:val="48"/>
          <w:szCs w:val="48"/>
          <w:highlight w:val="none"/>
        </w:rPr>
      </w:pPr>
    </w:p>
    <w:p w14:paraId="65F01779">
      <w:pPr>
        <w:spacing w:line="540" w:lineRule="exact"/>
        <w:jc w:val="center"/>
        <w:rPr>
          <w:rFonts w:ascii="Times New Roman" w:hAnsi="Times New Roman" w:eastAsia="方正小标宋_GBK" w:cs="Times New Roman"/>
          <w:b/>
          <w:kern w:val="0"/>
          <w:sz w:val="48"/>
          <w:szCs w:val="48"/>
          <w:highlight w:val="none"/>
        </w:rPr>
      </w:pPr>
    </w:p>
    <w:p w14:paraId="74EFFED1">
      <w:pPr>
        <w:spacing w:line="540" w:lineRule="exact"/>
        <w:jc w:val="center"/>
        <w:rPr>
          <w:rFonts w:ascii="Times New Roman" w:hAnsi="Times New Roman" w:eastAsia="方正小标宋_GBK" w:cs="Times New Roman"/>
          <w:b/>
          <w:kern w:val="0"/>
          <w:sz w:val="48"/>
          <w:szCs w:val="48"/>
          <w:highlight w:val="none"/>
        </w:rPr>
      </w:pPr>
    </w:p>
    <w:p w14:paraId="5300738F">
      <w:pPr>
        <w:spacing w:line="540" w:lineRule="exact"/>
        <w:jc w:val="center"/>
        <w:rPr>
          <w:rFonts w:ascii="Times New Roman" w:hAnsi="Times New Roman" w:eastAsia="方正小标宋_GBK" w:cs="Times New Roman"/>
          <w:b/>
          <w:kern w:val="0"/>
          <w:sz w:val="48"/>
          <w:szCs w:val="48"/>
          <w:highlight w:val="none"/>
        </w:rPr>
      </w:pPr>
      <w:r>
        <w:rPr>
          <w:rFonts w:hint="default" w:ascii="Times New Roman" w:hAnsi="Times New Roman" w:eastAsia="方正小标宋_GBK" w:cs="Times New Roman"/>
          <w:b/>
          <w:kern w:val="0"/>
          <w:sz w:val="48"/>
          <w:szCs w:val="48"/>
          <w:highlight w:val="none"/>
          <w:lang w:val="en-US" w:eastAsia="zh-CN"/>
        </w:rPr>
        <w:t>昆仑路街道办事处</w:t>
      </w:r>
      <w:r>
        <w:rPr>
          <w:rFonts w:hint="default" w:ascii="Times New Roman" w:hAnsi="Times New Roman" w:eastAsia="方正小标宋_GBK" w:cs="Times New Roman"/>
          <w:b/>
          <w:kern w:val="0"/>
          <w:sz w:val="48"/>
          <w:szCs w:val="48"/>
          <w:highlight w:val="none"/>
        </w:rPr>
        <w:t>整体支出绩效</w:t>
      </w:r>
    </w:p>
    <w:p w14:paraId="23239A18">
      <w:pPr>
        <w:spacing w:line="540" w:lineRule="exact"/>
        <w:jc w:val="center"/>
        <w:rPr>
          <w:rFonts w:ascii="Times New Roman" w:hAnsi="Times New Roman" w:eastAsia="方正小标宋_GBK" w:cs="Times New Roman"/>
          <w:b/>
          <w:kern w:val="0"/>
          <w:sz w:val="48"/>
          <w:szCs w:val="48"/>
          <w:highlight w:val="none"/>
        </w:rPr>
      </w:pPr>
      <w:r>
        <w:rPr>
          <w:rFonts w:hint="default" w:ascii="Times New Roman" w:hAnsi="Times New Roman" w:eastAsia="方正小标宋_GBK" w:cs="Times New Roman"/>
          <w:b/>
          <w:kern w:val="0"/>
          <w:sz w:val="48"/>
          <w:szCs w:val="48"/>
          <w:highlight w:val="none"/>
        </w:rPr>
        <w:t>自评报告</w:t>
      </w:r>
    </w:p>
    <w:p w14:paraId="685C88F2">
      <w:pPr>
        <w:spacing w:line="540" w:lineRule="exact"/>
        <w:jc w:val="center"/>
        <w:rPr>
          <w:rFonts w:ascii="Times New Roman" w:hAnsi="Times New Roman" w:eastAsia="华文中宋" w:cs="Times New Roman"/>
          <w:b/>
          <w:kern w:val="0"/>
          <w:sz w:val="52"/>
          <w:szCs w:val="52"/>
          <w:highlight w:val="none"/>
        </w:rPr>
      </w:pPr>
    </w:p>
    <w:p w14:paraId="556CD286">
      <w:pPr>
        <w:spacing w:line="540" w:lineRule="exact"/>
        <w:jc w:val="center"/>
        <w:rPr>
          <w:rFonts w:ascii="Times New Roman" w:hAnsi="Times New Roman" w:eastAsia="仿宋_GB2312" w:cs="Times New Roman"/>
          <w:kern w:val="0"/>
          <w:sz w:val="36"/>
          <w:szCs w:val="36"/>
          <w:highlight w:val="none"/>
        </w:rPr>
      </w:pPr>
      <w:r>
        <w:rPr>
          <w:rFonts w:hint="default" w:ascii="Times New Roman" w:hAnsi="Times New Roman" w:eastAsia="仿宋_GB2312" w:cs="Times New Roman"/>
          <w:kern w:val="0"/>
          <w:sz w:val="36"/>
          <w:szCs w:val="36"/>
          <w:highlight w:val="none"/>
        </w:rPr>
        <w:t>（</w:t>
      </w:r>
      <w:r>
        <w:rPr>
          <w:rFonts w:hint="default" w:ascii="Times New Roman" w:hAnsi="Times New Roman" w:eastAsia="仿宋_GB2312" w:cs="Times New Roman"/>
          <w:kern w:val="0"/>
          <w:sz w:val="36"/>
          <w:szCs w:val="36"/>
          <w:highlight w:val="none"/>
          <w:lang w:val="en-US" w:eastAsia="zh-CN"/>
        </w:rPr>
        <w:t>2024</w:t>
      </w:r>
      <w:r>
        <w:rPr>
          <w:rFonts w:hint="default" w:ascii="Times New Roman" w:hAnsi="Times New Roman" w:eastAsia="仿宋_GB2312" w:cs="Times New Roman"/>
          <w:kern w:val="0"/>
          <w:sz w:val="36"/>
          <w:szCs w:val="36"/>
          <w:highlight w:val="none"/>
        </w:rPr>
        <w:t>年度）</w:t>
      </w:r>
    </w:p>
    <w:p w14:paraId="5D8CE1AD">
      <w:pPr>
        <w:spacing w:line="540" w:lineRule="exact"/>
        <w:jc w:val="center"/>
        <w:rPr>
          <w:rFonts w:ascii="Times New Roman" w:hAnsi="Times New Roman" w:eastAsia="仿宋_GB2312" w:cs="Times New Roman"/>
          <w:kern w:val="0"/>
          <w:sz w:val="30"/>
          <w:szCs w:val="30"/>
          <w:highlight w:val="none"/>
        </w:rPr>
      </w:pPr>
    </w:p>
    <w:p w14:paraId="572D3D8C">
      <w:pPr>
        <w:spacing w:line="540" w:lineRule="exact"/>
        <w:jc w:val="center"/>
        <w:rPr>
          <w:rFonts w:ascii="Times New Roman" w:hAnsi="Times New Roman" w:eastAsia="仿宋_GB2312" w:cs="Times New Roman"/>
          <w:kern w:val="0"/>
          <w:sz w:val="30"/>
          <w:szCs w:val="30"/>
          <w:highlight w:val="none"/>
        </w:rPr>
      </w:pPr>
    </w:p>
    <w:p w14:paraId="0DE1ADF4">
      <w:pPr>
        <w:spacing w:line="540" w:lineRule="exact"/>
        <w:jc w:val="both"/>
        <w:rPr>
          <w:rFonts w:ascii="Times New Roman" w:hAnsi="Times New Roman" w:eastAsia="方正小标宋_GBK" w:cs="Times New Roman"/>
          <w:kern w:val="0"/>
          <w:sz w:val="36"/>
          <w:szCs w:val="36"/>
          <w:highlight w:val="none"/>
        </w:rPr>
      </w:pPr>
    </w:p>
    <w:p w14:paraId="2B4DD51A">
      <w:pPr>
        <w:spacing w:line="540" w:lineRule="exact"/>
        <w:jc w:val="center"/>
        <w:rPr>
          <w:rFonts w:ascii="Times New Roman" w:hAnsi="Times New Roman" w:eastAsia="仿宋_GB2312" w:cs="Times New Roman"/>
          <w:kern w:val="0"/>
          <w:sz w:val="30"/>
          <w:szCs w:val="30"/>
          <w:highlight w:val="none"/>
        </w:rPr>
      </w:pPr>
    </w:p>
    <w:p w14:paraId="19A76B6F">
      <w:pPr>
        <w:spacing w:line="540" w:lineRule="exact"/>
        <w:jc w:val="center"/>
        <w:rPr>
          <w:rFonts w:ascii="Times New Roman" w:hAnsi="Times New Roman" w:eastAsia="仿宋_GB2312" w:cs="Times New Roman"/>
          <w:kern w:val="0"/>
          <w:sz w:val="30"/>
          <w:szCs w:val="30"/>
          <w:highlight w:val="none"/>
        </w:rPr>
      </w:pPr>
    </w:p>
    <w:p w14:paraId="21F52242">
      <w:pPr>
        <w:spacing w:line="540" w:lineRule="exact"/>
        <w:jc w:val="center"/>
        <w:rPr>
          <w:rFonts w:ascii="Times New Roman" w:hAnsi="Times New Roman" w:eastAsia="仿宋_GB2312" w:cs="Times New Roman"/>
          <w:kern w:val="0"/>
          <w:sz w:val="30"/>
          <w:szCs w:val="30"/>
          <w:highlight w:val="none"/>
        </w:rPr>
      </w:pPr>
    </w:p>
    <w:p w14:paraId="0347FC6A">
      <w:pPr>
        <w:spacing w:line="540" w:lineRule="exact"/>
        <w:rPr>
          <w:rFonts w:ascii="Times New Roman" w:hAnsi="Times New Roman" w:eastAsia="仿宋_GB2312" w:cs="Times New Roman"/>
          <w:kern w:val="0"/>
          <w:sz w:val="30"/>
          <w:szCs w:val="30"/>
          <w:highlight w:val="none"/>
        </w:rPr>
      </w:pPr>
    </w:p>
    <w:p w14:paraId="4F4A6183">
      <w:pPr>
        <w:spacing w:line="700" w:lineRule="exact"/>
        <w:jc w:val="left"/>
        <w:rPr>
          <w:rFonts w:ascii="Times New Roman" w:hAnsi="Times New Roman" w:eastAsia="仿宋_GB2312" w:cs="Times New Roman"/>
          <w:kern w:val="0"/>
          <w:sz w:val="36"/>
          <w:szCs w:val="36"/>
          <w:highlight w:val="none"/>
        </w:rPr>
      </w:pPr>
      <w:r>
        <w:rPr>
          <w:rFonts w:hint="default" w:ascii="Times New Roman" w:hAnsi="Times New Roman" w:eastAsia="仿宋_GB2312" w:cs="Times New Roman"/>
          <w:kern w:val="0"/>
          <w:sz w:val="36"/>
          <w:szCs w:val="36"/>
          <w:highlight w:val="none"/>
        </w:rPr>
        <w:t xml:space="preserve">  </w:t>
      </w:r>
    </w:p>
    <w:p w14:paraId="40EA9C86">
      <w:pPr>
        <w:spacing w:line="700" w:lineRule="exact"/>
        <w:ind w:firstLine="849" w:firstLineChars="236"/>
        <w:jc w:val="left"/>
        <w:rPr>
          <w:rFonts w:hint="default" w:ascii="Times New Roman" w:hAnsi="Times New Roman" w:eastAsia="仿宋_GB2312" w:cs="Times New Roman"/>
          <w:kern w:val="0"/>
          <w:sz w:val="36"/>
          <w:szCs w:val="36"/>
          <w:highlight w:val="none"/>
        </w:rPr>
      </w:pPr>
      <w:r>
        <w:rPr>
          <w:rFonts w:hint="default" w:ascii="Times New Roman" w:hAnsi="Times New Roman" w:eastAsia="仿宋_GB2312" w:cs="Times New Roman"/>
          <w:kern w:val="0"/>
          <w:sz w:val="36"/>
          <w:szCs w:val="36"/>
          <w:highlight w:val="none"/>
        </w:rPr>
        <w:t>部门单位名称（公章）：克拉玛依区昆仑路街道办事处</w:t>
      </w:r>
    </w:p>
    <w:p w14:paraId="5E639239">
      <w:pPr>
        <w:spacing w:line="700" w:lineRule="exact"/>
        <w:ind w:firstLine="849" w:firstLineChars="236"/>
        <w:jc w:val="left"/>
        <w:rPr>
          <w:rFonts w:hint="default" w:ascii="Times New Roman" w:hAnsi="Times New Roman" w:eastAsia="仿宋_GB2312" w:cs="Times New Roman"/>
          <w:kern w:val="0"/>
          <w:sz w:val="36"/>
          <w:szCs w:val="36"/>
          <w:highlight w:val="none"/>
        </w:rPr>
      </w:pPr>
      <w:r>
        <w:rPr>
          <w:rFonts w:hint="default" w:ascii="Times New Roman" w:hAnsi="Times New Roman" w:eastAsia="仿宋_GB2312" w:cs="Times New Roman"/>
          <w:kern w:val="0"/>
          <w:sz w:val="36"/>
          <w:szCs w:val="36"/>
          <w:highlight w:val="none"/>
        </w:rPr>
        <w:t>填报时间：</w:t>
      </w:r>
      <w:r>
        <w:rPr>
          <w:rFonts w:hint="default" w:ascii="Times New Roman" w:hAnsi="Times New Roman" w:eastAsia="仿宋_GB2312" w:cs="Times New Roman"/>
          <w:kern w:val="0"/>
          <w:sz w:val="36"/>
          <w:szCs w:val="36"/>
          <w:highlight w:val="none"/>
          <w:lang w:val="en-US" w:eastAsia="zh-CN"/>
        </w:rPr>
        <w:t>2025</w:t>
      </w:r>
      <w:r>
        <w:rPr>
          <w:rFonts w:hint="default" w:ascii="Times New Roman" w:hAnsi="Times New Roman" w:eastAsia="仿宋_GB2312" w:cs="Times New Roman"/>
          <w:kern w:val="0"/>
          <w:sz w:val="36"/>
          <w:szCs w:val="36"/>
          <w:highlight w:val="none"/>
        </w:rPr>
        <w:t>年</w:t>
      </w:r>
      <w:r>
        <w:rPr>
          <w:rFonts w:hint="default" w:ascii="Times New Roman" w:hAnsi="Times New Roman" w:eastAsia="仿宋_GB2312" w:cs="Times New Roman"/>
          <w:kern w:val="0"/>
          <w:sz w:val="36"/>
          <w:szCs w:val="36"/>
          <w:highlight w:val="none"/>
          <w:lang w:val="en-US" w:eastAsia="zh-CN"/>
        </w:rPr>
        <w:t>4</w:t>
      </w:r>
      <w:r>
        <w:rPr>
          <w:rFonts w:hint="default" w:ascii="Times New Roman" w:hAnsi="Times New Roman" w:eastAsia="仿宋_GB2312" w:cs="Times New Roman"/>
          <w:kern w:val="0"/>
          <w:sz w:val="36"/>
          <w:szCs w:val="36"/>
          <w:highlight w:val="none"/>
        </w:rPr>
        <w:t>月</w:t>
      </w:r>
      <w:r>
        <w:rPr>
          <w:rFonts w:hint="default" w:ascii="Times New Roman" w:hAnsi="Times New Roman" w:eastAsia="仿宋_GB2312" w:cs="Times New Roman"/>
          <w:kern w:val="0"/>
          <w:sz w:val="36"/>
          <w:szCs w:val="36"/>
          <w:highlight w:val="none"/>
          <w:lang w:val="en-US" w:eastAsia="zh-CN"/>
        </w:rPr>
        <w:t>15</w:t>
      </w:r>
      <w:r>
        <w:rPr>
          <w:rFonts w:hint="default" w:ascii="Times New Roman" w:hAnsi="Times New Roman" w:eastAsia="仿宋_GB2312" w:cs="Times New Roman"/>
          <w:kern w:val="0"/>
          <w:sz w:val="36"/>
          <w:szCs w:val="36"/>
          <w:highlight w:val="none"/>
        </w:rPr>
        <w:t>日</w:t>
      </w:r>
    </w:p>
    <w:p w14:paraId="6B0728B6">
      <w:pPr>
        <w:spacing w:line="700" w:lineRule="exact"/>
        <w:ind w:firstLine="849" w:firstLineChars="236"/>
        <w:jc w:val="left"/>
        <w:rPr>
          <w:rFonts w:hint="default" w:ascii="Times New Roman" w:hAnsi="Times New Roman" w:eastAsia="仿宋_GB2312" w:cs="Times New Roman"/>
          <w:kern w:val="0"/>
          <w:sz w:val="36"/>
          <w:szCs w:val="36"/>
          <w:highlight w:val="none"/>
        </w:rPr>
        <w:sectPr>
          <w:pgSz w:w="11906" w:h="16838"/>
          <w:pgMar w:top="1440" w:right="1800" w:bottom="1440" w:left="1800" w:header="851" w:footer="992" w:gutter="0"/>
          <w:pgNumType w:fmt="decimal"/>
          <w:cols w:space="720" w:num="1"/>
          <w:docGrid w:type="lines" w:linePitch="312" w:charSpace="0"/>
        </w:sectPr>
      </w:pPr>
    </w:p>
    <w:p w14:paraId="5B1C598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firstLine="640" w:firstLineChars="200"/>
        <w:textAlignment w:val="auto"/>
        <w:outlineLvl w:val="9"/>
        <w:rPr>
          <w:rFonts w:hint="default" w:ascii="Times New Roman" w:hAnsi="Times New Roman" w:eastAsia="黑体" w:cs="Times New Roman"/>
          <w:b w:val="0"/>
          <w:bCs/>
          <w:color w:val="333333"/>
          <w:sz w:val="32"/>
          <w:szCs w:val="32"/>
          <w:highlight w:val="none"/>
          <w:lang w:bidi="ar"/>
        </w:rPr>
      </w:pPr>
      <w:bookmarkStart w:id="436" w:name="_Toc17212"/>
      <w:r>
        <w:rPr>
          <w:rFonts w:hint="default" w:ascii="Times New Roman" w:hAnsi="Times New Roman" w:eastAsia="黑体" w:cs="Times New Roman"/>
          <w:b w:val="0"/>
          <w:bCs/>
          <w:color w:val="333333"/>
          <w:sz w:val="32"/>
          <w:szCs w:val="32"/>
          <w:highlight w:val="none"/>
          <w:lang w:val="en-US" w:eastAsia="zh-CN" w:bidi="ar"/>
        </w:rPr>
        <w:t>一、</w:t>
      </w:r>
      <w:r>
        <w:rPr>
          <w:rFonts w:hint="default" w:ascii="Times New Roman" w:hAnsi="Times New Roman" w:eastAsia="黑体" w:cs="Times New Roman"/>
          <w:b w:val="0"/>
          <w:bCs/>
          <w:color w:val="333333"/>
          <w:sz w:val="32"/>
          <w:szCs w:val="32"/>
          <w:highlight w:val="none"/>
          <w:lang w:bidi="ar"/>
        </w:rPr>
        <w:t>基本概况</w:t>
      </w:r>
      <w:bookmarkEnd w:id="436"/>
    </w:p>
    <w:p w14:paraId="178EE1E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973" w:leftChars="304" w:firstLine="0" w:firstLineChars="0"/>
        <w:textAlignment w:val="auto"/>
        <w:outlineLvl w:val="9"/>
        <w:rPr>
          <w:rFonts w:hint="default" w:ascii="Times New Roman" w:hAnsi="Times New Roman" w:eastAsia="楷体" w:cs="Times New Roman"/>
          <w:b/>
          <w:sz w:val="32"/>
          <w:szCs w:val="32"/>
          <w:highlight w:val="none"/>
        </w:rPr>
      </w:pPr>
      <w:bookmarkStart w:id="437" w:name="_Toc18380"/>
      <w:r>
        <w:rPr>
          <w:rFonts w:hint="default" w:ascii="Times New Roman" w:hAnsi="Times New Roman" w:eastAsia="楷体" w:cs="Times New Roman"/>
          <w:b/>
          <w:sz w:val="32"/>
          <w:szCs w:val="32"/>
          <w:highlight w:val="none"/>
        </w:rPr>
        <w:t>（一）部门单位基本情况</w:t>
      </w:r>
      <w:bookmarkEnd w:id="437"/>
    </w:p>
    <w:p w14:paraId="2A84AF69">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973" w:leftChars="304" w:firstLine="0" w:firstLineChars="0"/>
        <w:textAlignment w:val="auto"/>
        <w:rPr>
          <w:rFonts w:hint="default" w:ascii="Times New Roman" w:hAnsi="Times New Roman" w:eastAsia="仿宋_GB2312" w:cs="Times New Roman"/>
          <w:b/>
          <w:bCs w:val="0"/>
          <w:spacing w:val="-4"/>
          <w:kern w:val="2"/>
          <w:sz w:val="32"/>
          <w:szCs w:val="32"/>
          <w:highlight w:val="none"/>
          <w:lang w:val="en-US" w:eastAsia="zh-CN" w:bidi="ar-SA"/>
        </w:rPr>
      </w:pPr>
      <w:r>
        <w:rPr>
          <w:rFonts w:hint="default" w:ascii="Times New Roman" w:hAnsi="Times New Roman" w:eastAsia="仿宋_GB2312" w:cs="Times New Roman"/>
          <w:b/>
          <w:bCs w:val="0"/>
          <w:spacing w:val="-4"/>
          <w:kern w:val="2"/>
          <w:sz w:val="32"/>
          <w:szCs w:val="32"/>
          <w:highlight w:val="none"/>
          <w:lang w:val="en-US" w:eastAsia="zh-CN" w:bidi="ar-SA"/>
        </w:rPr>
        <w:t>1.主要职能</w:t>
      </w:r>
    </w:p>
    <w:p w14:paraId="1352C7BC">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宋体" w:cs="Times New Roman"/>
          <w:sz w:val="32"/>
          <w:szCs w:val="32"/>
          <w:highlight w:val="none"/>
          <w:lang w:eastAsia="zh-CN"/>
        </w:rPr>
        <w:t>1</w:t>
      </w:r>
      <w:r>
        <w:rPr>
          <w:rFonts w:hint="default" w:ascii="Times New Roman" w:hAnsi="Times New Roman" w:eastAsia="仿宋_GB2312" w:cs="Times New Roman"/>
          <w:sz w:val="32"/>
          <w:szCs w:val="32"/>
          <w:highlight w:val="none"/>
        </w:rPr>
        <w:t>）负责辖区内的精神文明建设工作，积极组织以提高市民素质为目的的活动，树立文明新风。</w:t>
      </w:r>
    </w:p>
    <w:p w14:paraId="1AB48C87">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（2）负责辖区内的维护和谐及社会治安综合治理工作，依照有关规定做好出租房和外来人员的管理工作；协助配合有关部门做好辖区普法、依法行政、民事调解、帮教和法律服务等工作，维护居民的合法权益。</w:t>
      </w:r>
    </w:p>
    <w:p w14:paraId="3BD19423">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（3）负责辖区内的市容环境卫生、园林绿化等城市管理工作，配合有关部门做好抢险救灾、环境保护等工作。</w:t>
      </w:r>
    </w:p>
    <w:p w14:paraId="7FAEF7E3">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（4）负责辖区拥军优属、优抚安置、社会救济、社会福利、劳动就业、安全生产监督、社区文化、体育、科普、教育、卫生保健、计划生育、残疾人、老龄、关心下一代等管理工作。</w:t>
      </w:r>
    </w:p>
    <w:p w14:paraId="0235C7C6">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）指导社区居委会工作，帮助社区居委会搞好组织建设和制度建设，发挥社区居委会的群众性自治组织作用；及时向区人民政府反映居民群众的意见和要求，办理人民群众来信来访事项。</w:t>
      </w:r>
    </w:p>
    <w:p w14:paraId="466A87E3">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）负责辖区社区建设工作，积极开展社区服务工作，大力兴办社会福利事业，组织社区服务志愿者队伍，动员单位和居民兴办社区服务事业，指导社区居委会开展各类社区公益活动。</w:t>
      </w:r>
    </w:p>
    <w:p w14:paraId="6CBCDB46">
      <w:pPr>
        <w:snapToGrid w:val="0"/>
        <w:spacing w:line="520" w:lineRule="exact"/>
        <w:ind w:firstLine="640" w:firstLineChars="200"/>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）定期参加相关职能部门召开的城市管理协调例会或负责人联席会议，及时沟通和交流城市管理情况，保证城市管理工作协调统一。</w:t>
      </w:r>
    </w:p>
    <w:p w14:paraId="6A182EDF">
      <w:pPr>
        <w:snapToGrid w:val="0"/>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 xml:space="preserve">）建立与区相关职能部门的联络员制度、信息共享等制度，确保及时、准确传递业务信息，快速、高效地解决问题。  </w:t>
      </w:r>
    </w:p>
    <w:p w14:paraId="2528D091">
      <w:pPr>
        <w:snapToGrid w:val="0"/>
        <w:ind w:firstLine="640" w:firstLineChars="200"/>
        <w:jc w:val="left"/>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）承办区委、区政府交办的其他工作。</w:t>
      </w:r>
    </w:p>
    <w:p w14:paraId="3511B027">
      <w:pPr>
        <w:keepNext w:val="0"/>
        <w:keepLines w:val="0"/>
        <w:pageBreakBefore w:val="0"/>
        <w:widowControl w:val="0"/>
        <w:numPr>
          <w:ilvl w:val="0"/>
          <w:numId w:val="0"/>
        </w:numPr>
        <w:tabs>
          <w:tab w:val="left" w:pos="489"/>
        </w:tabs>
        <w:kinsoku/>
        <w:wordWrap/>
        <w:overflowPunct/>
        <w:topLinePunct w:val="0"/>
        <w:autoSpaceDE/>
        <w:autoSpaceDN/>
        <w:bidi w:val="0"/>
        <w:adjustRightInd/>
        <w:snapToGrid w:val="0"/>
        <w:spacing w:line="560" w:lineRule="exact"/>
        <w:ind w:left="973" w:leftChars="304" w:firstLine="0" w:firstLineChars="0"/>
        <w:textAlignment w:val="auto"/>
        <w:rPr>
          <w:rFonts w:hint="default" w:ascii="Times New Roman" w:hAnsi="Times New Roman" w:eastAsia="仿宋_GB2312" w:cs="Times New Roman"/>
          <w:b/>
          <w:sz w:val="32"/>
          <w:szCs w:val="32"/>
          <w:highlight w:val="none"/>
        </w:rPr>
      </w:pPr>
      <w:r>
        <w:rPr>
          <w:rStyle w:val="15"/>
          <w:rFonts w:hint="default" w:ascii="Times New Roman" w:hAnsi="Times New Roman" w:eastAsia="仿宋_GB2312" w:cs="Times New Roman"/>
          <w:b/>
          <w:bCs w:val="0"/>
          <w:color w:val="000000"/>
          <w:spacing w:val="-4"/>
          <w:sz w:val="32"/>
          <w:szCs w:val="32"/>
          <w:highlight w:val="none"/>
          <w:lang w:val="en-US" w:eastAsia="zh-CN"/>
        </w:rPr>
        <w:t>2.</w:t>
      </w:r>
      <w:r>
        <w:rPr>
          <w:rFonts w:hint="default" w:ascii="Times New Roman" w:hAnsi="Times New Roman" w:eastAsia="仿宋_GB2312" w:cs="Times New Roman"/>
          <w:b/>
          <w:sz w:val="32"/>
          <w:szCs w:val="32"/>
          <w:highlight w:val="none"/>
        </w:rPr>
        <w:t>机构设置及人员情况</w:t>
      </w:r>
    </w:p>
    <w:p w14:paraId="1B8DF4D9">
      <w:pPr>
        <w:keepNext w:val="0"/>
        <w:keepLines w:val="0"/>
        <w:pageBreakBefore w:val="0"/>
        <w:widowControl/>
        <w:kinsoku/>
        <w:wordWrap/>
        <w:overflowPunct/>
        <w:topLinePunct w:val="0"/>
        <w:autoSpaceDE/>
        <w:autoSpaceDN/>
        <w:bidi w:val="0"/>
        <w:adjustRightInd/>
        <w:snapToGrid/>
        <w:spacing w:beforeLines="0" w:line="560" w:lineRule="exact"/>
        <w:ind w:firstLine="624" w:firstLineChars="200"/>
        <w:jc w:val="both"/>
        <w:textAlignment w:val="auto"/>
        <w:rPr>
          <w:rFonts w:hint="default" w:ascii="Times New Roman" w:hAnsi="Times New Roman" w:eastAsia="仿宋_GB2312" w:cs="Times New Roman"/>
          <w:b/>
          <w:bCs/>
          <w:color w:val="000000"/>
          <w:kern w:val="0"/>
          <w:sz w:val="32"/>
          <w:szCs w:val="32"/>
          <w:highlight w:val="none"/>
        </w:rPr>
      </w:pPr>
      <w:r>
        <w:rPr>
          <w:rStyle w:val="15"/>
          <w:rFonts w:hint="default" w:ascii="Times New Roman" w:hAnsi="Times New Roman" w:eastAsia="仿宋_GB2312" w:cs="Times New Roman"/>
          <w:b w:val="0"/>
          <w:color w:val="000000"/>
          <w:spacing w:val="-4"/>
          <w:sz w:val="32"/>
          <w:szCs w:val="32"/>
          <w:highlight w:val="none"/>
          <w:lang w:val="en-US" w:eastAsia="zh-CN"/>
        </w:rPr>
        <w:t>昆仑路街道办事处包括本级机关，机关内设7个处室（</w:t>
      </w:r>
      <w:r>
        <w:rPr>
          <w:rFonts w:hint="default" w:ascii="Times New Roman" w:hAnsi="Times New Roman" w:eastAsia="仿宋_GB2312" w:cs="Times New Roman"/>
          <w:sz w:val="32"/>
          <w:szCs w:val="32"/>
          <w:highlight w:val="none"/>
          <w:lang w:eastAsia="zh-CN"/>
        </w:rPr>
        <w:t>综合协调办公室</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党建工作办公室</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综合执法办公室</w:t>
      </w:r>
      <w:r>
        <w:rPr>
          <w:rFonts w:hint="default" w:ascii="Times New Roman" w:hAnsi="Times New Roman" w:eastAsia="仿宋_GB2312" w:cs="Times New Roman"/>
          <w:sz w:val="32"/>
          <w:szCs w:val="32"/>
          <w:highlight w:val="none"/>
        </w:rPr>
        <w:t>、社会事务服务中心、党群服务中心</w:t>
      </w:r>
      <w:r>
        <w:rPr>
          <w:rFonts w:hint="default" w:ascii="Times New Roman" w:hAnsi="Times New Roman" w:eastAsia="仿宋_GB2312" w:cs="Times New Roman"/>
          <w:sz w:val="32"/>
          <w:szCs w:val="32"/>
          <w:highlight w:val="none"/>
          <w:lang w:eastAsia="zh-CN"/>
        </w:rPr>
        <w:t>、综合和网格化服务中心、经济发展中心</w:t>
      </w:r>
      <w:r>
        <w:rPr>
          <w:rStyle w:val="15"/>
          <w:rFonts w:hint="default" w:ascii="Times New Roman" w:hAnsi="Times New Roman" w:eastAsia="仿宋_GB2312" w:cs="Times New Roman"/>
          <w:b w:val="0"/>
          <w:color w:val="000000"/>
          <w:spacing w:val="-4"/>
          <w:sz w:val="32"/>
          <w:szCs w:val="32"/>
          <w:highlight w:val="none"/>
          <w:lang w:val="en-US" w:eastAsia="zh-CN"/>
        </w:rPr>
        <w:t>）。</w:t>
      </w:r>
    </w:p>
    <w:p w14:paraId="4F70064D">
      <w:pPr>
        <w:keepNext w:val="0"/>
        <w:keepLines w:val="0"/>
        <w:pageBreakBefore w:val="0"/>
        <w:widowControl/>
        <w:kinsoku/>
        <w:wordWrap/>
        <w:overflowPunct/>
        <w:topLinePunct w:val="0"/>
        <w:autoSpaceDE/>
        <w:autoSpaceDN/>
        <w:bidi w:val="0"/>
        <w:adjustRightInd/>
        <w:snapToGrid/>
        <w:spacing w:beforeLines="0" w:line="560" w:lineRule="exact"/>
        <w:ind w:firstLine="640"/>
        <w:jc w:val="both"/>
        <w:textAlignment w:val="auto"/>
        <w:rPr>
          <w:rFonts w:hint="default" w:ascii="Times New Roman" w:hAnsi="Times New Roman" w:eastAsia="仿宋_GB2312" w:cs="Times New Roman"/>
          <w:color w:val="000000"/>
          <w:kern w:val="0"/>
          <w:sz w:val="32"/>
          <w:szCs w:val="32"/>
          <w:highlight w:val="none"/>
          <w:lang w:eastAsia="zh-CN"/>
        </w:rPr>
      </w:pPr>
      <w:r>
        <w:rPr>
          <w:rStyle w:val="15"/>
          <w:rFonts w:hint="default" w:ascii="Times New Roman" w:hAnsi="Times New Roman" w:eastAsia="仿宋_GB2312" w:cs="Times New Roman"/>
          <w:b w:val="0"/>
          <w:color w:val="000000"/>
          <w:spacing w:val="-4"/>
          <w:sz w:val="32"/>
          <w:szCs w:val="32"/>
          <w:highlight w:val="none"/>
          <w:lang w:val="en-US" w:eastAsia="zh-CN"/>
        </w:rPr>
        <w:t>昆仑路街道办事处</w:t>
      </w:r>
      <w:r>
        <w:rPr>
          <w:rFonts w:hint="default" w:ascii="Times New Roman" w:hAnsi="Times New Roman" w:eastAsia="仿宋_GB2312" w:cs="Times New Roman"/>
          <w:color w:val="000000"/>
          <w:kern w:val="0"/>
          <w:sz w:val="32"/>
          <w:szCs w:val="32"/>
          <w:highlight w:val="none"/>
        </w:rPr>
        <w:t>编制数</w:t>
      </w:r>
      <w:r>
        <w:rPr>
          <w:rFonts w:hint="default" w:ascii="Times New Roman" w:hAnsi="Times New Roman" w:eastAsia="仿宋_GB2312" w:cs="Times New Roman"/>
          <w:color w:val="000000"/>
          <w:kern w:val="0"/>
          <w:sz w:val="32"/>
          <w:szCs w:val="32"/>
          <w:highlight w:val="none"/>
          <w:lang w:val="en-US" w:eastAsia="zh-CN"/>
        </w:rPr>
        <w:t>131</w:t>
      </w:r>
      <w:r>
        <w:rPr>
          <w:rFonts w:hint="default" w:ascii="Times New Roman" w:hAnsi="Times New Roman" w:eastAsia="仿宋_GB2312" w:cs="Times New Roman"/>
          <w:color w:val="000000"/>
          <w:kern w:val="0"/>
          <w:sz w:val="32"/>
          <w:szCs w:val="32"/>
          <w:highlight w:val="none"/>
        </w:rPr>
        <w:t>，实有人数</w:t>
      </w:r>
      <w:r>
        <w:rPr>
          <w:rFonts w:hint="default" w:ascii="Times New Roman" w:hAnsi="Times New Roman" w:eastAsia="仿宋_GB2312" w:cs="Times New Roman"/>
          <w:color w:val="000000"/>
          <w:kern w:val="0"/>
          <w:sz w:val="32"/>
          <w:szCs w:val="32"/>
          <w:highlight w:val="none"/>
          <w:lang w:val="en-US" w:eastAsia="zh-CN"/>
        </w:rPr>
        <w:t>121</w:t>
      </w:r>
      <w:r>
        <w:rPr>
          <w:rFonts w:hint="default" w:ascii="Times New Roman" w:hAnsi="Times New Roman" w:eastAsia="仿宋_GB2312" w:cs="Times New Roman"/>
          <w:color w:val="000000"/>
          <w:kern w:val="0"/>
          <w:sz w:val="32"/>
          <w:szCs w:val="32"/>
          <w:highlight w:val="none"/>
        </w:rPr>
        <w:t>人，其中：在职</w:t>
      </w:r>
      <w:r>
        <w:rPr>
          <w:rFonts w:hint="default" w:ascii="Times New Roman" w:hAnsi="Times New Roman" w:eastAsia="仿宋_GB2312" w:cs="Times New Roman"/>
          <w:color w:val="000000"/>
          <w:kern w:val="0"/>
          <w:sz w:val="32"/>
          <w:szCs w:val="32"/>
          <w:highlight w:val="none"/>
          <w:lang w:val="en-US" w:eastAsia="zh-CN"/>
        </w:rPr>
        <w:t>121</w:t>
      </w:r>
      <w:r>
        <w:rPr>
          <w:rFonts w:hint="default" w:ascii="Times New Roman" w:hAnsi="Times New Roman" w:eastAsia="仿宋_GB2312" w:cs="Times New Roman"/>
          <w:color w:val="000000"/>
          <w:kern w:val="0"/>
          <w:sz w:val="32"/>
          <w:szCs w:val="32"/>
          <w:highlight w:val="none"/>
        </w:rPr>
        <w:t>人，退休</w:t>
      </w:r>
      <w:r>
        <w:rPr>
          <w:rFonts w:hint="default" w:ascii="Times New Roman" w:hAnsi="Times New Roman" w:eastAsia="仿宋_GB2312" w:cs="Times New Roman"/>
          <w:color w:val="000000"/>
          <w:kern w:val="0"/>
          <w:sz w:val="32"/>
          <w:szCs w:val="32"/>
          <w:highlight w:val="none"/>
          <w:lang w:val="en-US" w:eastAsia="zh-CN"/>
        </w:rPr>
        <w:t>1</w:t>
      </w:r>
      <w:r>
        <w:rPr>
          <w:rFonts w:hint="default" w:ascii="Times New Roman" w:hAnsi="Times New Roman" w:eastAsia="仿宋_GB2312" w:cs="Times New Roman"/>
          <w:color w:val="000000"/>
          <w:kern w:val="0"/>
          <w:sz w:val="32"/>
          <w:szCs w:val="32"/>
          <w:highlight w:val="none"/>
        </w:rPr>
        <w:t>人，离休</w:t>
      </w:r>
      <w:r>
        <w:rPr>
          <w:rFonts w:hint="default" w:ascii="Times New Roman" w:hAnsi="Times New Roman" w:eastAsia="仿宋_GB2312" w:cs="Times New Roman"/>
          <w:color w:val="000000"/>
          <w:kern w:val="0"/>
          <w:sz w:val="32"/>
          <w:szCs w:val="32"/>
          <w:highlight w:val="none"/>
          <w:lang w:val="en-US" w:eastAsia="zh-CN"/>
        </w:rPr>
        <w:t>0</w:t>
      </w:r>
      <w:r>
        <w:rPr>
          <w:rFonts w:hint="default" w:ascii="Times New Roman" w:hAnsi="Times New Roman" w:eastAsia="仿宋_GB2312" w:cs="Times New Roman"/>
          <w:color w:val="000000"/>
          <w:kern w:val="0"/>
          <w:sz w:val="32"/>
          <w:szCs w:val="32"/>
          <w:highlight w:val="none"/>
        </w:rPr>
        <w:t>人。</w:t>
      </w:r>
    </w:p>
    <w:p w14:paraId="5E5B22D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973" w:leftChars="304" w:firstLine="0" w:firstLineChars="0"/>
        <w:textAlignment w:val="auto"/>
        <w:outlineLvl w:val="9"/>
        <w:rPr>
          <w:rFonts w:hint="default" w:ascii="Times New Roman" w:hAnsi="Times New Roman" w:eastAsia="楷体" w:cs="Times New Roman"/>
          <w:b/>
          <w:sz w:val="32"/>
          <w:szCs w:val="32"/>
          <w:highlight w:val="none"/>
          <w:lang w:val="en-US" w:eastAsia="zh-CN"/>
        </w:rPr>
      </w:pPr>
      <w:bookmarkStart w:id="438" w:name="_Toc801"/>
      <w:r>
        <w:rPr>
          <w:rFonts w:hint="default" w:ascii="Times New Roman" w:hAnsi="Times New Roman" w:eastAsia="楷体" w:cs="Times New Roman"/>
          <w:b/>
          <w:sz w:val="32"/>
          <w:szCs w:val="32"/>
          <w:highlight w:val="none"/>
          <w:lang w:val="en-US" w:eastAsia="zh-CN"/>
        </w:rPr>
        <w:t>（二）部门单位年度重点工作</w:t>
      </w:r>
      <w:bookmarkEnd w:id="438"/>
    </w:p>
    <w:p w14:paraId="3BFED5E7">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27" w:firstLineChars="200"/>
        <w:textAlignment w:val="auto"/>
        <w:outlineLvl w:val="9"/>
        <w:rPr>
          <w:rFonts w:hint="default" w:ascii="Times New Roman" w:hAnsi="Times New Roman" w:eastAsia="仿宋_GB2312" w:cs="Times New Roman"/>
          <w:b/>
          <w:bCs w:val="0"/>
          <w:spacing w:val="-4"/>
          <w:sz w:val="32"/>
          <w:szCs w:val="32"/>
          <w:highlight w:val="none"/>
          <w:lang w:val="en-US" w:eastAsia="zh-CN"/>
        </w:rPr>
      </w:pPr>
      <w:bookmarkStart w:id="439" w:name="_Toc8260"/>
      <w:r>
        <w:rPr>
          <w:rFonts w:hint="default" w:ascii="Times New Roman" w:hAnsi="Times New Roman" w:eastAsia="仿宋_GB2312" w:cs="Times New Roman"/>
          <w:b/>
          <w:bCs w:val="0"/>
          <w:spacing w:val="-4"/>
          <w:sz w:val="32"/>
          <w:szCs w:val="32"/>
          <w:highlight w:val="none"/>
          <w:lang w:val="en-US" w:eastAsia="zh-CN"/>
        </w:rPr>
        <w:t>1.年度总体目标</w:t>
      </w:r>
      <w:bookmarkEnd w:id="439"/>
    </w:p>
    <w:p w14:paraId="6586EEFB">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bookmarkStart w:id="440" w:name="_Toc7397"/>
      <w:r>
        <w:rPr>
          <w:rFonts w:hint="default" w:ascii="Times New Roman" w:hAnsi="Times New Roman" w:eastAsia="仿宋_GB2312" w:cs="Times New Roman"/>
          <w:sz w:val="32"/>
          <w:szCs w:val="32"/>
          <w:highlight w:val="none"/>
          <w:lang w:val="en-US" w:eastAsia="zh-CN"/>
        </w:rPr>
        <w:t>2024年昆仑路街道办事处将实施并完成上级部门布置的各项任务，明确战略任务和奋斗目标，坚持稳中求进，坚持实干争先，围绕加强党的建设，实施综合管理，组织公共服务，加强公共安全，统筹社区发展，动员社会参与等方面开展工作，确保街道各项工作目标任务圆满完成。</w:t>
      </w:r>
    </w:p>
    <w:p w14:paraId="5A117C75">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（一）突出党建引领，全力开展好党建各项工作；</w:t>
      </w:r>
    </w:p>
    <w:p w14:paraId="03470F2A">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（二）突出平安稳定，增强社会和谐。</w:t>
      </w:r>
    </w:p>
    <w:p w14:paraId="31AACEDD">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（三）突出富民惠民，不断提升群众幸福感。</w:t>
      </w:r>
    </w:p>
    <w:p w14:paraId="7DC39978">
      <w:pPr>
        <w:keepNext w:val="0"/>
        <w:keepLines w:val="0"/>
        <w:pageBreakBefore w:val="0"/>
        <w:widowControl/>
        <w:kinsoku/>
        <w:wordWrap/>
        <w:overflowPunct/>
        <w:topLinePunct w:val="0"/>
        <w:autoSpaceDE/>
        <w:autoSpaceDN/>
        <w:bidi w:val="0"/>
        <w:adjustRightInd/>
        <w:snapToGrid/>
        <w:spacing w:beforeLines="0" w:line="560" w:lineRule="exact"/>
        <w:ind w:firstLine="640" w:firstLineChars="200"/>
        <w:jc w:val="both"/>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（四）突出民生保障，拓宽社会保障覆盖面。</w:t>
      </w:r>
    </w:p>
    <w:p w14:paraId="07E35664">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27" w:firstLineChars="200"/>
        <w:textAlignment w:val="auto"/>
        <w:outlineLvl w:val="9"/>
        <w:rPr>
          <w:rFonts w:hint="default" w:ascii="Times New Roman" w:hAnsi="Times New Roman" w:eastAsia="仿宋_GB2312" w:cs="Times New Roman"/>
          <w:b/>
          <w:bCs w:val="0"/>
          <w:spacing w:val="-4"/>
          <w:sz w:val="32"/>
          <w:szCs w:val="32"/>
          <w:highlight w:val="none"/>
          <w:lang w:val="en-US" w:eastAsia="zh-CN"/>
        </w:rPr>
      </w:pPr>
      <w:r>
        <w:rPr>
          <w:rFonts w:hint="default" w:ascii="Times New Roman" w:hAnsi="Times New Roman" w:eastAsia="仿宋_GB2312" w:cs="Times New Roman"/>
          <w:b/>
          <w:bCs w:val="0"/>
          <w:spacing w:val="-4"/>
          <w:sz w:val="32"/>
          <w:szCs w:val="32"/>
          <w:highlight w:val="none"/>
          <w:lang w:val="en-US" w:eastAsia="zh-CN"/>
        </w:rPr>
        <w:t>2.重点工作计划</w:t>
      </w:r>
      <w:bookmarkEnd w:id="440"/>
    </w:p>
    <w:p w14:paraId="77297EBC">
      <w:pPr>
        <w:snapToGrid w:val="0"/>
        <w:spacing w:line="520" w:lineRule="exact"/>
        <w:ind w:firstLine="640" w:firstLineChars="200"/>
        <w:rPr>
          <w:rFonts w:ascii="Times New Roman" w:hAnsi="Times New Roman" w:eastAsia="仿宋_GB2312" w:cs="Times New Roman"/>
          <w:color w:val="auto"/>
          <w:sz w:val="32"/>
          <w:szCs w:val="32"/>
          <w:highlight w:val="none"/>
        </w:rPr>
      </w:pPr>
      <w:bookmarkStart w:id="441" w:name="_Toc9872"/>
      <w:r>
        <w:rPr>
          <w:rFonts w:hint="default" w:ascii="Times New Roman" w:hAnsi="Times New Roman" w:eastAsia="仿宋_GB2312" w:cs="Times New Roman"/>
          <w:color w:val="auto"/>
          <w:sz w:val="32"/>
          <w:szCs w:val="32"/>
          <w:highlight w:val="none"/>
        </w:rPr>
        <w:t>202</w:t>
      </w:r>
      <w:r>
        <w:rPr>
          <w:rFonts w:hint="default" w:ascii="Times New Roman" w:hAnsi="Times New Roman" w:eastAsia="仿宋_GB2312" w:cs="Times New Roman"/>
          <w:color w:val="auto"/>
          <w:sz w:val="32"/>
          <w:szCs w:val="32"/>
          <w:highlight w:val="none"/>
          <w:lang w:val="en-US" w:eastAsia="zh-CN"/>
        </w:rPr>
        <w:t>4</w:t>
      </w:r>
      <w:r>
        <w:rPr>
          <w:rFonts w:hint="default" w:ascii="Times New Roman" w:hAnsi="Times New Roman" w:eastAsia="仿宋_GB2312" w:cs="Times New Roman"/>
          <w:color w:val="auto"/>
          <w:sz w:val="32"/>
          <w:szCs w:val="32"/>
          <w:highlight w:val="none"/>
        </w:rPr>
        <w:t>年昆仑路街道</w:t>
      </w:r>
      <w:r>
        <w:rPr>
          <w:rFonts w:hint="default" w:ascii="Times New Roman" w:hAnsi="Times New Roman" w:eastAsia="仿宋_GB2312" w:cs="Times New Roman"/>
          <w:color w:val="auto"/>
          <w:sz w:val="32"/>
          <w:szCs w:val="32"/>
          <w:highlight w:val="none"/>
          <w:lang w:eastAsia="zh-CN"/>
        </w:rPr>
        <w:t>办事处</w:t>
      </w:r>
      <w:r>
        <w:rPr>
          <w:rFonts w:hint="default" w:ascii="Times New Roman" w:hAnsi="Times New Roman" w:eastAsia="仿宋_GB2312" w:cs="Times New Roman"/>
          <w:color w:val="auto"/>
          <w:sz w:val="32"/>
          <w:szCs w:val="32"/>
          <w:highlight w:val="none"/>
        </w:rPr>
        <w:t>将顺利实施并完成上级部门布置的各项任务，突出街道经济和社区发展要求，围绕加强党的建设，实施综合管理，组织公共服务，加强公共安全，统筹社区发展，动员社会参与等方面开展工作，确保街道各项工作目标任务圆满完成。</w:t>
      </w:r>
    </w:p>
    <w:p w14:paraId="312DC893">
      <w:pPr>
        <w:snapToGrid w:val="0"/>
        <w:spacing w:line="52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目标1：</w:t>
      </w:r>
      <w:r>
        <w:rPr>
          <w:rFonts w:hint="default" w:ascii="Times New Roman" w:hAnsi="Times New Roman" w:eastAsia="仿宋_GB2312" w:cs="Times New Roman"/>
          <w:color w:val="auto"/>
          <w:sz w:val="32"/>
          <w:szCs w:val="32"/>
          <w:highlight w:val="none"/>
          <w:lang w:eastAsia="zh-CN"/>
        </w:rPr>
        <w:t>强化政治建设，筑牢思想根基。打牢思想基础，凝聚奋进力量；强化组织建设，铸牢战斗堡垒；紧盯形式主义突出问题，精准整治为基层松绑减负</w:t>
      </w:r>
      <w:r>
        <w:rPr>
          <w:rFonts w:hint="default" w:ascii="Times New Roman" w:hAnsi="Times New Roman" w:eastAsia="仿宋_GB2312" w:cs="Times New Roman"/>
          <w:color w:val="auto"/>
          <w:sz w:val="32"/>
          <w:szCs w:val="32"/>
          <w:highlight w:val="none"/>
        </w:rPr>
        <w:t>；</w:t>
      </w:r>
    </w:p>
    <w:p w14:paraId="3C49B90B">
      <w:pPr>
        <w:snapToGrid w:val="0"/>
        <w:spacing w:line="52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目标2</w:t>
      </w:r>
      <w:r>
        <w:rPr>
          <w:rFonts w:hint="default" w:ascii="Times New Roman" w:hAnsi="Times New Roman" w:eastAsia="仿宋_GB2312" w:cs="Times New Roman"/>
          <w:color w:val="auto"/>
          <w:sz w:val="32"/>
          <w:szCs w:val="32"/>
          <w:highlight w:val="none"/>
          <w:lang w:eastAsia="zh-CN"/>
        </w:rPr>
        <w:t>：坚持压实责任，切实增强维护稳定的责任感。强化防范机制，推进平安建设；守好底线，做好相关人员服务管理工作；与法同行，持续增强辖区居民的获得感</w:t>
      </w:r>
      <w:r>
        <w:rPr>
          <w:rFonts w:hint="default" w:ascii="Times New Roman" w:hAnsi="Times New Roman" w:eastAsia="仿宋_GB2312" w:cs="Times New Roman"/>
          <w:color w:val="auto"/>
          <w:sz w:val="32"/>
          <w:szCs w:val="32"/>
          <w:highlight w:val="none"/>
        </w:rPr>
        <w:t>；</w:t>
      </w:r>
    </w:p>
    <w:p w14:paraId="3AF60B60">
      <w:pPr>
        <w:snapToGrid w:val="0"/>
        <w:spacing w:line="52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目标3</w:t>
      </w:r>
      <w:r>
        <w:rPr>
          <w:rFonts w:hint="default" w:ascii="Times New Roman" w:hAnsi="Times New Roman" w:eastAsia="仿宋_GB2312" w:cs="Times New Roman"/>
          <w:color w:val="auto"/>
          <w:sz w:val="32"/>
          <w:szCs w:val="32"/>
          <w:highlight w:val="none"/>
          <w:lang w:eastAsia="zh-CN"/>
        </w:rPr>
        <w:t>：严抓安全生产，落实安全生产责任。筑牢安全防线，精抓物业管理，提升辖区服务水平；严抓行政执法，提升执法效能</w:t>
      </w:r>
      <w:r>
        <w:rPr>
          <w:rFonts w:hint="default" w:ascii="Times New Roman" w:hAnsi="Times New Roman" w:eastAsia="仿宋_GB2312" w:cs="Times New Roman"/>
          <w:color w:val="auto"/>
          <w:sz w:val="32"/>
          <w:szCs w:val="32"/>
          <w:highlight w:val="none"/>
        </w:rPr>
        <w:t>；</w:t>
      </w:r>
    </w:p>
    <w:p w14:paraId="4E4FB076">
      <w:pPr>
        <w:snapToGrid w:val="0"/>
        <w:spacing w:line="52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目标4：</w:t>
      </w:r>
      <w:r>
        <w:rPr>
          <w:rFonts w:hint="default" w:ascii="Times New Roman" w:hAnsi="Times New Roman" w:eastAsia="仿宋_GB2312" w:cs="Times New Roman"/>
          <w:color w:val="auto"/>
          <w:sz w:val="32"/>
          <w:szCs w:val="32"/>
          <w:highlight w:val="none"/>
          <w:lang w:eastAsia="zh-CN"/>
        </w:rPr>
        <w:t>坚持惠民生、促和谐，改善民生取得新成效。持续发挥社会兜底保障作用；弘扬传统文化，发展现代文体；“四下基层”助力提升为民服务水平；抓机遇促发展，营造良好营商环境</w:t>
      </w:r>
      <w:r>
        <w:rPr>
          <w:rFonts w:hint="default" w:ascii="Times New Roman" w:hAnsi="Times New Roman" w:eastAsia="仿宋_GB2312" w:cs="Times New Roman"/>
          <w:color w:val="auto"/>
          <w:sz w:val="32"/>
          <w:szCs w:val="32"/>
          <w:highlight w:val="none"/>
        </w:rPr>
        <w:t>；</w:t>
      </w:r>
    </w:p>
    <w:p w14:paraId="633EA5FD">
      <w:pPr>
        <w:snapToGrid w:val="0"/>
        <w:spacing w:line="520" w:lineRule="exact"/>
        <w:ind w:firstLine="640" w:firstLineChars="200"/>
        <w:rPr>
          <w:rFonts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目标5:</w:t>
      </w:r>
      <w:r>
        <w:rPr>
          <w:rFonts w:hint="default" w:ascii="Times New Roman" w:hAnsi="Times New Roman" w:eastAsia="仿宋_GB2312" w:cs="Times New Roman"/>
          <w:color w:val="auto"/>
          <w:sz w:val="32"/>
          <w:szCs w:val="32"/>
          <w:highlight w:val="none"/>
          <w:lang w:eastAsia="zh-CN"/>
        </w:rPr>
        <w:t>强化作风建设，筑牢纪律防线。严格落实</w:t>
      </w:r>
      <w:del w:id="4" w:author="WPS_1615451219" w:date="2025-09-19T10:43:24Z">
        <w:r>
          <w:rPr>
            <w:rFonts w:hint="default" w:ascii="Times New Roman" w:hAnsi="Times New Roman" w:eastAsia="仿宋_GB2312" w:cs="Times New Roman"/>
            <w:color w:val="auto"/>
            <w:sz w:val="32"/>
            <w:szCs w:val="32"/>
            <w:highlight w:val="none"/>
            <w:lang w:eastAsia="zh-CN"/>
          </w:rPr>
          <w:delText>党风廉政责任制</w:delText>
        </w:r>
      </w:del>
      <w:ins w:id="5" w:author="WPS_1615451219" w:date="2025-09-19T10:43:24Z">
        <w:r>
          <w:rPr>
            <w:rFonts w:hint="eastAsia" w:ascii="Times New Roman" w:hAnsi="Times New Roman" w:cs="Times New Roman"/>
            <w:color w:val="auto"/>
            <w:sz w:val="32"/>
            <w:szCs w:val="32"/>
            <w:highlight w:val="none"/>
            <w:lang w:eastAsia="zh-CN"/>
          </w:rPr>
          <w:t>党风廉政建设责任制</w:t>
        </w:r>
      </w:ins>
      <w:r>
        <w:rPr>
          <w:rFonts w:hint="default" w:ascii="Times New Roman" w:hAnsi="Times New Roman" w:eastAsia="仿宋_GB2312" w:cs="Times New Roman"/>
          <w:color w:val="auto"/>
          <w:sz w:val="32"/>
          <w:szCs w:val="32"/>
          <w:highlight w:val="none"/>
          <w:lang w:eastAsia="zh-CN"/>
        </w:rPr>
        <w:t>，从严从实深化党的纪律建设，强化日常监督整改落实，持续巩固和深化整改成果</w:t>
      </w:r>
      <w:r>
        <w:rPr>
          <w:rFonts w:hint="default" w:ascii="Times New Roman" w:hAnsi="Times New Roman" w:eastAsia="仿宋_GB2312" w:cs="Times New Roman"/>
          <w:color w:val="auto"/>
          <w:sz w:val="32"/>
          <w:szCs w:val="32"/>
          <w:highlight w:val="none"/>
        </w:rPr>
        <w:t>。</w:t>
      </w:r>
    </w:p>
    <w:p w14:paraId="4F4FE85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973" w:leftChars="304" w:firstLine="0" w:firstLineChars="0"/>
        <w:textAlignment w:val="auto"/>
        <w:outlineLvl w:val="9"/>
        <w:rPr>
          <w:rFonts w:hint="default" w:ascii="Times New Roman" w:hAnsi="Times New Roman" w:eastAsia="楷体" w:cs="Times New Roman"/>
          <w:b/>
          <w:sz w:val="32"/>
          <w:szCs w:val="32"/>
          <w:highlight w:val="none"/>
          <w:lang w:val="en-US" w:eastAsia="zh-CN"/>
        </w:rPr>
      </w:pPr>
      <w:r>
        <w:rPr>
          <w:rFonts w:hint="default" w:ascii="Times New Roman" w:hAnsi="Times New Roman" w:eastAsia="楷体" w:cs="Times New Roman"/>
          <w:b/>
          <w:sz w:val="32"/>
          <w:szCs w:val="32"/>
          <w:highlight w:val="none"/>
          <w:lang w:val="en-US" w:eastAsia="zh-CN"/>
        </w:rPr>
        <w:t>（三）部门单位整体预算规模及安排情况</w:t>
      </w:r>
      <w:bookmarkEnd w:id="441"/>
    </w:p>
    <w:p w14:paraId="6C4420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24" w:firstLineChars="200"/>
        <w:jc w:val="left"/>
        <w:textAlignment w:val="auto"/>
        <w:rPr>
          <w:rFonts w:hint="default" w:ascii="Times New Roman" w:hAnsi="Times New Roman" w:eastAsia="仿宋_GB2312" w:cs="Times New Roman"/>
          <w:b w:val="0"/>
          <w:bCs/>
          <w:color w:val="000000"/>
          <w:spacing w:val="-4"/>
          <w:sz w:val="32"/>
          <w:szCs w:val="32"/>
          <w:highlight w:val="none"/>
          <w:lang w:val="en-US" w:eastAsia="zh-CN"/>
        </w:rPr>
      </w:pPr>
      <w:r>
        <w:rPr>
          <w:rFonts w:hint="default" w:ascii="Times New Roman" w:hAnsi="Times New Roman" w:eastAsia="仿宋_GB2312" w:cs="Times New Roman"/>
          <w:b w:val="0"/>
          <w:bCs/>
          <w:color w:val="000000"/>
          <w:spacing w:val="-4"/>
          <w:sz w:val="32"/>
          <w:szCs w:val="32"/>
          <w:highlight w:val="none"/>
          <w:lang w:val="en-US" w:eastAsia="zh-CN"/>
        </w:rPr>
        <w:t>2024年</w:t>
      </w:r>
      <w:r>
        <w:rPr>
          <w:rFonts w:hint="default" w:ascii="Times New Roman" w:hAnsi="Times New Roman" w:eastAsia="仿宋_GB2312" w:cs="Times New Roman"/>
          <w:sz w:val="32"/>
          <w:szCs w:val="32"/>
          <w:highlight w:val="none"/>
          <w:lang w:val="en-US" w:eastAsia="zh-CN"/>
        </w:rPr>
        <w:t>昆仑路街道办事处</w:t>
      </w:r>
      <w:r>
        <w:rPr>
          <w:rFonts w:hint="default" w:ascii="Times New Roman" w:hAnsi="Times New Roman" w:eastAsia="仿宋_GB2312" w:cs="Times New Roman"/>
          <w:b w:val="0"/>
          <w:bCs/>
          <w:color w:val="000000"/>
          <w:spacing w:val="-4"/>
          <w:sz w:val="32"/>
          <w:szCs w:val="32"/>
          <w:highlight w:val="none"/>
          <w:lang w:val="en-US" w:eastAsia="zh-CN"/>
        </w:rPr>
        <w:t>年初预算安排7218.63万元，其中财政拨款7050.52万元，其他资金168.11万元，主要用于保障街道社区运转、保障街道社区伙食、综合服务设施建设、丰富国企退休人员生活等。年中调整1017.34万元，调整后全年预算8235.97万元，预算调整率12.35%，调整预算的主要原因为追加支持企业发展专项资金、自治区基层组织建设资金、基本支出经费，结转上年国有企业社会化管理补助资金、天池南社区综合服务设施建设项目等。</w:t>
      </w:r>
    </w:p>
    <w:p w14:paraId="5F6B0E2B">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outlineLvl w:val="9"/>
        <w:rPr>
          <w:rFonts w:hint="default" w:ascii="Times New Roman" w:hAnsi="Times New Roman" w:eastAsia="黑体" w:cs="Times New Roman"/>
          <w:b w:val="0"/>
          <w:bCs/>
          <w:color w:val="333333"/>
          <w:sz w:val="32"/>
          <w:szCs w:val="32"/>
          <w:highlight w:val="none"/>
          <w:lang w:bidi="ar"/>
        </w:rPr>
      </w:pPr>
      <w:bookmarkStart w:id="442" w:name="_Toc22484"/>
      <w:r>
        <w:rPr>
          <w:rFonts w:hint="default" w:ascii="Times New Roman" w:hAnsi="Times New Roman" w:eastAsia="黑体" w:cs="Times New Roman"/>
          <w:b w:val="0"/>
          <w:bCs/>
          <w:color w:val="333333"/>
          <w:kern w:val="2"/>
          <w:sz w:val="32"/>
          <w:szCs w:val="32"/>
          <w:highlight w:val="none"/>
          <w:lang w:val="en-US" w:eastAsia="zh-CN" w:bidi="ar"/>
        </w:rPr>
        <w:t>二、</w:t>
      </w:r>
      <w:r>
        <w:rPr>
          <w:rFonts w:hint="default" w:ascii="Times New Roman" w:hAnsi="Times New Roman" w:eastAsia="黑体" w:cs="Times New Roman"/>
          <w:b w:val="0"/>
          <w:bCs/>
          <w:color w:val="333333"/>
          <w:sz w:val="32"/>
          <w:szCs w:val="32"/>
          <w:highlight w:val="none"/>
          <w:lang w:bidi="ar"/>
        </w:rPr>
        <w:t>部门单位整体支出管理及使用情况</w:t>
      </w:r>
      <w:bookmarkEnd w:id="442"/>
    </w:p>
    <w:p w14:paraId="63DE5D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楷体" w:cs="Times New Roman"/>
          <w:b/>
          <w:sz w:val="32"/>
          <w:szCs w:val="32"/>
          <w:highlight w:val="none"/>
          <w:lang w:val="en-US" w:eastAsia="zh-CN"/>
        </w:rPr>
      </w:pPr>
      <w:bookmarkStart w:id="443" w:name="_Toc12906"/>
      <w:r>
        <w:rPr>
          <w:rFonts w:hint="default" w:ascii="Times New Roman" w:hAnsi="Times New Roman" w:eastAsia="楷体" w:cs="Times New Roman"/>
          <w:b/>
          <w:sz w:val="32"/>
          <w:szCs w:val="32"/>
          <w:highlight w:val="none"/>
          <w:lang w:val="en-US" w:eastAsia="zh-CN"/>
        </w:rPr>
        <w:t>（一）部门单位整体支出管理情况</w:t>
      </w:r>
      <w:bookmarkEnd w:id="443"/>
    </w:p>
    <w:p w14:paraId="7649842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44" w:name="_Toc3057"/>
      <w:r>
        <w:rPr>
          <w:rFonts w:hint="default" w:ascii="Times New Roman" w:hAnsi="Times New Roman" w:eastAsia="仿宋_GB2312" w:cs="Times New Roman"/>
          <w:b/>
          <w:sz w:val="32"/>
          <w:szCs w:val="32"/>
          <w:highlight w:val="none"/>
          <w:lang w:val="en-US" w:eastAsia="zh-CN"/>
        </w:rPr>
        <w:t>1.预算编制</w:t>
      </w:r>
      <w:bookmarkEnd w:id="444"/>
    </w:p>
    <w:p w14:paraId="20E1D6AD">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楷体" w:cs="Times New Roman"/>
          <w:b/>
          <w:color w:val="auto"/>
          <w:sz w:val="32"/>
          <w:szCs w:val="32"/>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
        </w:rPr>
        <w:t>2024年我单位坚持围绕中心工作，科学谋划预算资金安排，依据规定程序和要求，及时完成部门预算编制申报，同时合理设定入库项目绩效指标、年度目标值，科学构建部门整体支出核心绩效指标体系和编报部门整体预算申请绩效报告，推动提高财政资金配置效益。</w:t>
      </w:r>
    </w:p>
    <w:p w14:paraId="002400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color w:val="auto"/>
          <w:sz w:val="32"/>
          <w:szCs w:val="32"/>
          <w:highlight w:val="none"/>
          <w:lang w:val="en-US" w:eastAsia="zh-CN"/>
        </w:rPr>
      </w:pPr>
      <w:bookmarkStart w:id="445" w:name="_Toc26162"/>
      <w:r>
        <w:rPr>
          <w:rFonts w:hint="default" w:ascii="Times New Roman" w:hAnsi="Times New Roman" w:eastAsia="仿宋_GB2312" w:cs="Times New Roman"/>
          <w:b/>
          <w:color w:val="auto"/>
          <w:sz w:val="32"/>
          <w:szCs w:val="32"/>
          <w:highlight w:val="none"/>
          <w:lang w:val="en-US" w:eastAsia="zh-CN"/>
        </w:rPr>
        <w:t>2.预算执行</w:t>
      </w:r>
      <w:bookmarkEnd w:id="445"/>
    </w:p>
    <w:p w14:paraId="57B930F5">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lang w:val="en-US" w:eastAsia="zh-CN" w:bidi="ar"/>
        </w:rPr>
        <w:t>地区财政批复预算后，我单位按要求及时制定并报批部门预算支出计划，严格落实预算执行定期分析机制，靠前抓好支出执行，坚持严肃财经纪律，硬化预算约束，持续树牢厉行节约理念，严控一般性支出，努力降低行政运行成本。</w:t>
      </w:r>
    </w:p>
    <w:p w14:paraId="4C1939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46" w:name="_Toc31456"/>
      <w:r>
        <w:rPr>
          <w:rFonts w:hint="default" w:ascii="Times New Roman" w:hAnsi="Times New Roman" w:eastAsia="仿宋_GB2312" w:cs="Times New Roman"/>
          <w:b/>
          <w:sz w:val="32"/>
          <w:szCs w:val="32"/>
          <w:highlight w:val="none"/>
          <w:lang w:val="en-US" w:eastAsia="zh-CN"/>
        </w:rPr>
        <w:t>3.绩效管理</w:t>
      </w:r>
      <w:bookmarkEnd w:id="446"/>
    </w:p>
    <w:p w14:paraId="22045EB9">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2024年，我单位严格按照财政要求，落实预算绩效管理全过程，包括①注重绩效目标编制，预算编制环节注重编细编实预算需求，科学选择绩效指标，合理设置绩效目标值，并严格按照财政统一要求，规范编制事前绩效报告，为财政资金发挥效益夯实基础。②落实绩效“双监控”，预算执行过程中，以年度支出计划为基础，定期分析预算执行和绩效目标落实情况，并依托财政预算绩效管理平台分5月、8月对预算执行动态进行实时监控，发现问题及时纠偏，确保绩效目标落地落实。③扎实开展自评工作，年度终了，扎实开展预算绩效目标完成情况部门审核和自评工作。</w:t>
      </w:r>
    </w:p>
    <w:p w14:paraId="4FD2FC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47" w:name="_Toc2740"/>
      <w:r>
        <w:rPr>
          <w:rFonts w:hint="default" w:ascii="Times New Roman" w:hAnsi="Times New Roman" w:eastAsia="仿宋_GB2312" w:cs="Times New Roman"/>
          <w:b/>
          <w:sz w:val="32"/>
          <w:szCs w:val="32"/>
          <w:highlight w:val="none"/>
          <w:lang w:val="en-US" w:eastAsia="zh-CN"/>
        </w:rPr>
        <w:t>4.信息公开</w:t>
      </w:r>
      <w:bookmarkEnd w:id="447"/>
    </w:p>
    <w:p w14:paraId="4AEC0B1C">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我单位已按要求在克拉玛依区人民政府门户网站公开部门预算信息，同步公开绩效目标表；在克拉玛依区人民政府门户网站公开部门决算信息，同步公开自评表及自评报告。</w:t>
      </w:r>
    </w:p>
    <w:p w14:paraId="3E95C9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楷体" w:cs="Times New Roman"/>
          <w:b/>
          <w:sz w:val="32"/>
          <w:szCs w:val="32"/>
          <w:highlight w:val="none"/>
          <w:lang w:val="en-US" w:eastAsia="zh-CN"/>
        </w:rPr>
      </w:pPr>
      <w:bookmarkStart w:id="448" w:name="_Toc2315"/>
      <w:r>
        <w:rPr>
          <w:rFonts w:hint="default" w:ascii="Times New Roman" w:hAnsi="Times New Roman" w:eastAsia="楷体" w:cs="Times New Roman"/>
          <w:b/>
          <w:sz w:val="32"/>
          <w:szCs w:val="32"/>
          <w:highlight w:val="none"/>
          <w:lang w:val="en-US" w:eastAsia="zh-CN"/>
        </w:rPr>
        <w:t>（二）部门单位整体支出使用情况</w:t>
      </w:r>
      <w:bookmarkEnd w:id="448"/>
    </w:p>
    <w:p w14:paraId="183591F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49" w:name="_Toc32320"/>
      <w:r>
        <w:rPr>
          <w:rFonts w:hint="default" w:ascii="Times New Roman" w:hAnsi="Times New Roman" w:eastAsia="仿宋_GB2312" w:cs="Times New Roman"/>
          <w:b/>
          <w:sz w:val="32"/>
          <w:szCs w:val="32"/>
          <w:highlight w:val="none"/>
          <w:lang w:val="en-US" w:eastAsia="zh-CN"/>
        </w:rPr>
        <w:t>1.基本支出</w:t>
      </w:r>
      <w:bookmarkEnd w:id="449"/>
      <w:r>
        <w:rPr>
          <w:rFonts w:hint="default" w:ascii="Times New Roman" w:hAnsi="Times New Roman" w:eastAsia="仿宋_GB2312" w:cs="Times New Roman"/>
          <w:b/>
          <w:sz w:val="32"/>
          <w:szCs w:val="32"/>
          <w:highlight w:val="none"/>
          <w:lang w:val="en-US" w:eastAsia="zh-CN"/>
        </w:rPr>
        <w:t>情况</w:t>
      </w:r>
    </w:p>
    <w:p w14:paraId="0A51B1C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color w:val="000000"/>
          <w:sz w:val="32"/>
          <w:szCs w:val="32"/>
          <w:highlight w:val="none"/>
          <w:lang w:val="en-US" w:eastAsia="zh-CN"/>
        </w:rPr>
      </w:pPr>
      <w:r>
        <w:rPr>
          <w:rFonts w:hint="default" w:ascii="Times New Roman" w:hAnsi="Times New Roman" w:eastAsia="仿宋_GB2312" w:cs="Times New Roman"/>
          <w:b w:val="0"/>
          <w:bCs/>
          <w:color w:val="000000"/>
          <w:sz w:val="32"/>
          <w:szCs w:val="32"/>
          <w:highlight w:val="none"/>
          <w:lang w:val="en-US" w:eastAsia="zh-CN"/>
        </w:rPr>
        <w:t>2024年基本支出</w:t>
      </w:r>
      <w:r>
        <w:rPr>
          <w:rStyle w:val="15"/>
          <w:rFonts w:hint="default" w:ascii="Times New Roman" w:hAnsi="Times New Roman" w:eastAsia="仿宋_GB2312" w:cs="Times New Roman"/>
          <w:b w:val="0"/>
          <w:color w:val="000000"/>
          <w:spacing w:val="-4"/>
          <w:sz w:val="32"/>
          <w:szCs w:val="32"/>
          <w:highlight w:val="none"/>
          <w:lang w:val="en-US" w:eastAsia="zh-CN"/>
        </w:rPr>
        <w:t>5539.02万元，</w:t>
      </w:r>
      <w:r>
        <w:rPr>
          <w:rFonts w:hint="default" w:ascii="Times New Roman" w:hAnsi="Times New Roman" w:eastAsia="仿宋_GB2312" w:cs="Times New Roman"/>
          <w:b w:val="0"/>
          <w:bCs/>
          <w:color w:val="000000"/>
          <w:sz w:val="32"/>
          <w:szCs w:val="32"/>
          <w:highlight w:val="none"/>
          <w:lang w:val="en-US" w:eastAsia="zh-CN"/>
        </w:rPr>
        <w:t>包括工资福利支出2114.37万元，商品和服务支出3423.38万元，对个人和家庭的补助1.27万元，资本性支出0万元。</w:t>
      </w:r>
      <w:r>
        <w:rPr>
          <w:rFonts w:hint="default" w:ascii="Times New Roman" w:hAnsi="Times New Roman" w:eastAsia="仿宋_GB2312" w:cs="Times New Roman"/>
          <w:b w:val="0"/>
          <w:bCs/>
          <w:sz w:val="32"/>
          <w:szCs w:val="32"/>
          <w:highlight w:val="none"/>
          <w:lang w:val="en-US" w:eastAsia="zh-CN"/>
        </w:rPr>
        <w:t>其中</w:t>
      </w:r>
      <w:r>
        <w:rPr>
          <w:rStyle w:val="15"/>
          <w:rFonts w:hint="default" w:ascii="Times New Roman" w:hAnsi="Times New Roman" w:eastAsia="仿宋_GB2312" w:cs="Times New Roman"/>
          <w:b w:val="0"/>
          <w:color w:val="000000"/>
          <w:spacing w:val="-4"/>
          <w:sz w:val="32"/>
          <w:szCs w:val="32"/>
          <w:highlight w:val="none"/>
          <w:lang w:val="en-US" w:eastAsia="zh-CN"/>
        </w:rPr>
        <w:t>：</w:t>
      </w:r>
      <w:r>
        <w:rPr>
          <w:rFonts w:hint="default" w:ascii="Times New Roman" w:hAnsi="Times New Roman" w:eastAsia="仿宋_GB2312" w:cs="Times New Roman"/>
          <w:b w:val="0"/>
          <w:bCs/>
          <w:color w:val="000000"/>
          <w:spacing w:val="-4"/>
          <w:sz w:val="32"/>
          <w:szCs w:val="32"/>
          <w:highlight w:val="none"/>
          <w:lang w:val="en-US" w:eastAsia="zh-CN"/>
        </w:rPr>
        <w:t>“三公”经费支出11.15万元，比上年减少30.53万元，主要原因是本年未购置车辆；会议费支出0万元，比上年增加0万元，主要原因是无此项支出；培训费支出0万元，比上年增加0万元，主要原因是无此项支出。</w:t>
      </w:r>
    </w:p>
    <w:p w14:paraId="6764C9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50" w:name="_Toc8425"/>
      <w:r>
        <w:rPr>
          <w:rFonts w:hint="default" w:ascii="Times New Roman" w:hAnsi="Times New Roman" w:eastAsia="仿宋_GB2312" w:cs="Times New Roman"/>
          <w:b/>
          <w:sz w:val="32"/>
          <w:szCs w:val="32"/>
          <w:highlight w:val="none"/>
          <w:lang w:val="en-US" w:eastAsia="zh-CN"/>
        </w:rPr>
        <w:t>2.专项资金支出情况</w:t>
      </w:r>
      <w:bookmarkEnd w:id="450"/>
    </w:p>
    <w:p w14:paraId="1C863DF2">
      <w:pPr>
        <w:keepNext w:val="0"/>
        <w:keepLines w:val="0"/>
        <w:pageBreakBefore w:val="0"/>
        <w:numPr>
          <w:ilvl w:val="0"/>
          <w:numId w:val="0"/>
        </w:numPr>
        <w:kinsoku/>
        <w:wordWrap/>
        <w:overflowPunct/>
        <w:topLinePunct w:val="0"/>
        <w:autoSpaceDE/>
        <w:autoSpaceDN/>
        <w:bidi w:val="0"/>
        <w:adjustRightInd/>
        <w:spacing w:line="560" w:lineRule="exact"/>
        <w:ind w:firstLine="624" w:firstLineChars="200"/>
        <w:textAlignment w:val="auto"/>
        <w:rPr>
          <w:rFonts w:hint="default" w:ascii="Times New Roman" w:hAnsi="Times New Roman" w:eastAsia="仿宋_GB2312" w:cs="Times New Roman"/>
          <w:b/>
          <w:bCs w:val="0"/>
          <w:color w:val="000000"/>
          <w:spacing w:val="-4"/>
          <w:sz w:val="32"/>
          <w:szCs w:val="32"/>
          <w:highlight w:val="none"/>
          <w:lang w:eastAsia="zh-CN"/>
        </w:rPr>
      </w:pPr>
      <w:r>
        <w:rPr>
          <w:rStyle w:val="15"/>
          <w:rFonts w:hint="default" w:ascii="Times New Roman" w:hAnsi="Times New Roman" w:eastAsia="仿宋_GB2312" w:cs="Times New Roman"/>
          <w:b w:val="0"/>
          <w:color w:val="000000"/>
          <w:spacing w:val="-4"/>
          <w:sz w:val="32"/>
          <w:szCs w:val="32"/>
          <w:highlight w:val="none"/>
          <w:lang w:val="en-US" w:eastAsia="zh-CN"/>
        </w:rPr>
        <w:t>2024年专项项目支出2696.95万元，占总支出的32.75％，主要用于1.2020-2021年中央及自治区彩票公益金项目（食堂改造、南湖新康养、视频监控），2.2022年国有企业社会化管理补助资金（中央），3.2023年福利彩票公益金项目（市级-五社联动），4.2023年自治区彩票公益金项目（未成年人保护工作站建设），5.2024年度自治区基层组织建设资金-自治区级，6.2024年公共图书馆、美术馆、文化馆免费开放资金-区级，7.2024年国有企业退休人员社会化管理补助资金，8.2024年街道社区伙食费（区级），9.2024年街道社区运转经费（区级），10.2024年街道社区运转经费-一月电费（区级），11.2024年街道养老服务中心运营经费（区级），12.2024年天池南社区综合服务设施建设项目进度款-区级，13.2024年信息化专项-昆仑路街道项目（区级），14.2024年支持企业发展-A1769南林文体活动室项目（区级），15.2024年支持企业发展-昆仑路街道中队清欠项目，16.2024年支持企业发展-人力资源中心项目（永升）区级，17.2024年支持企业发展专项-昆仑路街道-融汇（区级），18.2024年中央公共图书馆、美术馆、文化馆免费开放资金-中央级，19.2024年自治区基层组织建设资金第二批-自治区级，20.2024支持企业发展-封闭小区信息化安防项目（电信）区级，21.2024支持企业发展-昆仑路街道（2017-2019）区级，22.2024支持企业发展-老年活动中心视频监控资金（移动）区级，23.A2024-025昆仑路街道公共空间适儿化改造项目（自治区预算内前期费），24.A2024-038克拉玛依市克拉玛依区昆仑路街道福升社区综合服务设施建设项目（中央预算内资金），25.A2024-039克拉玛依市克拉玛依区昆仑路街道博雅社区综合服务设施建设项目（中央预算内资金），26.天池南社区综合服务设施建设项目。</w:t>
      </w:r>
    </w:p>
    <w:p w14:paraId="7178FF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51" w:name="_Toc31045"/>
      <w:r>
        <w:rPr>
          <w:rFonts w:hint="default" w:ascii="Times New Roman" w:hAnsi="Times New Roman" w:eastAsia="仿宋_GB2312" w:cs="Times New Roman"/>
          <w:b/>
          <w:sz w:val="32"/>
          <w:szCs w:val="32"/>
          <w:highlight w:val="none"/>
          <w:lang w:val="en-US" w:eastAsia="zh-CN"/>
        </w:rPr>
        <w:t>3.部门单位专项组织实施情况</w:t>
      </w:r>
      <w:bookmarkEnd w:id="451"/>
    </w:p>
    <w:p w14:paraId="5DEBF5AB">
      <w:pPr>
        <w:keepNext w:val="0"/>
        <w:keepLines w:val="0"/>
        <w:pageBreakBefore w:val="0"/>
        <w:numPr>
          <w:ilvl w:val="0"/>
          <w:numId w:val="0"/>
        </w:numPr>
        <w:kinsoku/>
        <w:wordWrap/>
        <w:overflowPunct/>
        <w:topLinePunct w:val="0"/>
        <w:autoSpaceDE/>
        <w:autoSpaceDN/>
        <w:bidi w:val="0"/>
        <w:adjustRightInd/>
        <w:spacing w:line="560" w:lineRule="exact"/>
        <w:ind w:firstLine="624" w:firstLineChars="200"/>
        <w:textAlignment w:val="auto"/>
        <w:rPr>
          <w:rStyle w:val="15"/>
          <w:rFonts w:hint="default" w:ascii="Times New Roman" w:hAnsi="Times New Roman" w:eastAsia="仿宋_GB2312" w:cs="Times New Roman"/>
          <w:b w:val="0"/>
          <w:color w:val="auto"/>
          <w:spacing w:val="-4"/>
          <w:sz w:val="32"/>
          <w:szCs w:val="32"/>
          <w:highlight w:val="none"/>
          <w:lang w:val="en-US" w:eastAsia="zh-CN"/>
        </w:rPr>
      </w:pPr>
      <w:r>
        <w:rPr>
          <w:rStyle w:val="15"/>
          <w:rFonts w:hint="default" w:ascii="Times New Roman" w:hAnsi="Times New Roman" w:eastAsia="仿宋_GB2312" w:cs="Times New Roman"/>
          <w:b w:val="0"/>
          <w:spacing w:val="-4"/>
          <w:sz w:val="32"/>
          <w:szCs w:val="32"/>
          <w:highlight w:val="none"/>
          <w:lang w:val="en-US" w:eastAsia="zh-CN"/>
        </w:rPr>
        <w:t>年初我单位下发的加强基层组织体系建设，织密全域覆盖的治理网络、深化新时代“</w:t>
      </w:r>
      <w:r>
        <w:rPr>
          <w:rStyle w:val="15"/>
          <w:rFonts w:hint="default" w:ascii="Times New Roman" w:hAnsi="Times New Roman" w:eastAsia="仿宋_GB2312" w:cs="Times New Roman"/>
          <w:b w:val="0"/>
          <w:color w:val="auto"/>
          <w:spacing w:val="-4"/>
          <w:sz w:val="32"/>
          <w:szCs w:val="32"/>
          <w:highlight w:val="none"/>
          <w:lang w:val="en-US" w:eastAsia="zh-CN"/>
        </w:rPr>
        <w:t>红细胞”工程，创新设置法律援助、技能培训、康养健身、家电维修等“人才特长岗”、推动两企三新党组织深入开展党员评选和争当先锋行动、大力开展便民利民服务，满足居民日常生活需求等工作计划，对项目的工作分工、任务分配、资金落实、完成时限等提出了明确、具体的要求，以确保项目保质、保量、按时完成。截至12月31日，完成专项数个，未完成专项0个。</w:t>
      </w:r>
    </w:p>
    <w:p w14:paraId="2B928579">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为规范专项资金使用，提高专项资金使用效益，我单位主要采取两项措施。一是制定了项目实施方案；二是认真组织项目验收。切实保证专项资金都做到了专款专用。</w:t>
      </w:r>
    </w:p>
    <w:p w14:paraId="2A7BEAD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（1）制定了街道社区运转项目、国有企业社会化管理补助资金项目实施方案，确保项目</w:t>
      </w:r>
      <w:r>
        <w:rPr>
          <w:rStyle w:val="15"/>
          <w:rFonts w:hint="default" w:ascii="Times New Roman" w:hAnsi="Times New Roman" w:eastAsia="仿宋_GB2312" w:cs="Times New Roman"/>
          <w:b w:val="0"/>
          <w:color w:val="auto"/>
          <w:spacing w:val="-4"/>
          <w:sz w:val="32"/>
          <w:szCs w:val="32"/>
          <w:highlight w:val="none"/>
          <w:lang w:val="en-US" w:eastAsia="zh-CN"/>
        </w:rPr>
        <w:t>保质、保量、按时完成</w:t>
      </w:r>
      <w:r>
        <w:rPr>
          <w:rFonts w:hint="default" w:ascii="Times New Roman" w:hAnsi="Times New Roman" w:eastAsia="仿宋_GB2312" w:cs="Times New Roman"/>
          <w:color w:val="auto"/>
          <w:kern w:val="0"/>
          <w:sz w:val="32"/>
          <w:szCs w:val="32"/>
          <w:highlight w:val="none"/>
          <w:lang w:val="en-US" w:eastAsia="zh-CN" w:bidi="ar"/>
        </w:rPr>
        <w:t>。</w:t>
      </w:r>
    </w:p>
    <w:p w14:paraId="772FCA83">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0"/>
          <w:sz w:val="32"/>
          <w:szCs w:val="32"/>
          <w:highlight w:val="none"/>
          <w:lang w:val="en-US" w:eastAsia="zh-CN" w:bidi="ar"/>
        </w:rPr>
      </w:pPr>
      <w:r>
        <w:rPr>
          <w:rFonts w:hint="default" w:ascii="Times New Roman" w:hAnsi="Times New Roman" w:eastAsia="仿宋_GB2312" w:cs="Times New Roman"/>
          <w:color w:val="auto"/>
          <w:kern w:val="0"/>
          <w:sz w:val="32"/>
          <w:szCs w:val="32"/>
          <w:highlight w:val="none"/>
          <w:lang w:val="en-US" w:eastAsia="zh-CN" w:bidi="ar"/>
        </w:rPr>
        <w:t>（4）认真组织综合服务设施建设项目项目验收，确保项目顺利竣工验收。</w:t>
      </w:r>
    </w:p>
    <w:p w14:paraId="5B624255">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FF0000"/>
          <w:kern w:val="0"/>
          <w:sz w:val="32"/>
          <w:szCs w:val="32"/>
          <w:highlight w:val="none"/>
          <w:lang w:val="en-US" w:eastAsia="zh-CN" w:bidi="ar"/>
        </w:rPr>
      </w:pPr>
    </w:p>
    <w:p w14:paraId="29ADE6B1">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outlineLvl w:val="9"/>
        <w:rPr>
          <w:rFonts w:hint="default" w:ascii="Times New Roman" w:hAnsi="Times New Roman" w:eastAsia="黑体" w:cs="Times New Roman"/>
          <w:bCs/>
          <w:color w:val="333333"/>
          <w:sz w:val="32"/>
          <w:szCs w:val="32"/>
          <w:highlight w:val="none"/>
          <w:lang w:bidi="ar"/>
        </w:rPr>
      </w:pPr>
      <w:bookmarkStart w:id="452" w:name="_Toc6552"/>
      <w:r>
        <w:rPr>
          <w:rFonts w:hint="default" w:ascii="Times New Roman" w:hAnsi="Times New Roman" w:eastAsia="黑体" w:cs="Times New Roman"/>
          <w:bCs/>
          <w:color w:val="333333"/>
          <w:kern w:val="2"/>
          <w:sz w:val="32"/>
          <w:szCs w:val="32"/>
          <w:highlight w:val="none"/>
          <w:lang w:val="en-US" w:eastAsia="zh-CN" w:bidi="ar"/>
        </w:rPr>
        <w:t>三、</w:t>
      </w:r>
      <w:r>
        <w:rPr>
          <w:rFonts w:hint="default" w:ascii="Times New Roman" w:hAnsi="Times New Roman" w:eastAsia="黑体" w:cs="Times New Roman"/>
          <w:bCs/>
          <w:color w:val="333333"/>
          <w:sz w:val="32"/>
          <w:szCs w:val="32"/>
          <w:highlight w:val="none"/>
          <w:lang w:bidi="ar"/>
        </w:rPr>
        <w:t>部门单位整体支出绩效情况</w:t>
      </w:r>
      <w:bookmarkEnd w:id="452"/>
    </w:p>
    <w:p w14:paraId="41BCF3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楷体" w:cs="Times New Roman"/>
          <w:b/>
          <w:sz w:val="32"/>
          <w:szCs w:val="32"/>
          <w:highlight w:val="none"/>
          <w:lang w:val="en-US" w:eastAsia="zh-CN"/>
        </w:rPr>
      </w:pPr>
      <w:bookmarkStart w:id="453" w:name="_Toc15638"/>
      <w:r>
        <w:rPr>
          <w:rFonts w:hint="default" w:ascii="Times New Roman" w:hAnsi="Times New Roman" w:eastAsia="楷体" w:cs="Times New Roman"/>
          <w:b/>
          <w:sz w:val="32"/>
          <w:szCs w:val="32"/>
          <w:highlight w:val="none"/>
          <w:lang w:val="en-US" w:eastAsia="zh-CN"/>
        </w:rPr>
        <w:t>（一）预算执行情况</w:t>
      </w:r>
      <w:bookmarkEnd w:id="453"/>
      <w:r>
        <w:rPr>
          <w:rFonts w:hint="default" w:ascii="Times New Roman" w:hAnsi="Times New Roman" w:eastAsia="楷体" w:cs="Times New Roman"/>
          <w:b/>
          <w:sz w:val="32"/>
          <w:szCs w:val="32"/>
          <w:highlight w:val="none"/>
          <w:lang w:val="en-US" w:eastAsia="zh-CN"/>
        </w:rPr>
        <w:t>分析</w:t>
      </w:r>
    </w:p>
    <w:p w14:paraId="7F94A9ED">
      <w:pPr>
        <w:keepNext w:val="0"/>
        <w:keepLines w:val="0"/>
        <w:pageBreakBefore w:val="0"/>
        <w:widowControl w:val="0"/>
        <w:numPr>
          <w:ilvl w:val="0"/>
          <w:numId w:val="0"/>
        </w:numPr>
        <w:kinsoku/>
        <w:wordWrap/>
        <w:overflowPunct/>
        <w:topLinePunct w:val="0"/>
        <w:autoSpaceDE/>
        <w:autoSpaceDN/>
        <w:bidi w:val="0"/>
        <w:adjustRightInd/>
        <w:spacing w:line="560" w:lineRule="exact"/>
        <w:ind w:firstLine="624" w:firstLineChars="200"/>
        <w:textAlignment w:val="auto"/>
        <w:rPr>
          <w:rFonts w:hint="default" w:ascii="Times New Roman" w:hAnsi="Times New Roman" w:eastAsia="仿宋_GB2312" w:cs="Times New Roman"/>
          <w:b w:val="0"/>
          <w:bCs/>
          <w:color w:val="000000"/>
          <w:spacing w:val="-4"/>
          <w:sz w:val="32"/>
          <w:szCs w:val="32"/>
          <w:highlight w:val="none"/>
          <w:lang w:val="en-US" w:eastAsia="zh-CN"/>
        </w:rPr>
      </w:pPr>
      <w:r>
        <w:rPr>
          <w:rFonts w:hint="default" w:ascii="Times New Roman" w:hAnsi="Times New Roman" w:eastAsia="仿宋_GB2312" w:cs="Times New Roman"/>
          <w:b w:val="0"/>
          <w:bCs/>
          <w:color w:val="000000"/>
          <w:spacing w:val="-4"/>
          <w:sz w:val="32"/>
          <w:szCs w:val="32"/>
          <w:highlight w:val="none"/>
          <w:lang w:val="en-US" w:eastAsia="zh-CN"/>
        </w:rPr>
        <w:t>2024年昆仑路街道办事处总支出8235.97万元，预算执行率100%，其中一般公共服务支出43.5万元，科学技术支出79.1万元，文化旅游体育与传媒支出5万元，社会保障和就业支出239.35万元，卫生健康支出134.24万元，城乡社区支出7110.25万元，住房保障支出232.48万元，国有资本经营预算支出331.34万元，其他支出60.71万元。</w:t>
      </w:r>
    </w:p>
    <w:p w14:paraId="2A396C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54" w:name="_Toc808"/>
      <w:r>
        <w:rPr>
          <w:rFonts w:hint="default" w:ascii="Times New Roman" w:hAnsi="Times New Roman" w:eastAsia="仿宋_GB2312" w:cs="Times New Roman"/>
          <w:b/>
          <w:sz w:val="32"/>
          <w:szCs w:val="32"/>
          <w:highlight w:val="none"/>
          <w:lang w:val="en-US" w:eastAsia="zh-CN"/>
        </w:rPr>
        <w:t>1.基本支出使用情况</w:t>
      </w:r>
      <w:bookmarkEnd w:id="454"/>
    </w:p>
    <w:p w14:paraId="27B5436F">
      <w:pPr>
        <w:keepNext w:val="0"/>
        <w:keepLines w:val="0"/>
        <w:pageBreakBefore w:val="0"/>
        <w:widowControl w:val="0"/>
        <w:numPr>
          <w:ilvl w:val="0"/>
          <w:numId w:val="0"/>
        </w:numPr>
        <w:kinsoku/>
        <w:wordWrap/>
        <w:overflowPunct/>
        <w:topLinePunct w:val="0"/>
        <w:autoSpaceDE/>
        <w:autoSpaceDN/>
        <w:bidi w:val="0"/>
        <w:adjustRightInd/>
        <w:spacing w:line="560" w:lineRule="exact"/>
        <w:ind w:firstLine="624" w:firstLineChars="200"/>
        <w:textAlignment w:val="auto"/>
        <w:rPr>
          <w:rFonts w:hint="default" w:ascii="Times New Roman" w:hAnsi="Times New Roman" w:eastAsia="仿宋_GB2312" w:cs="Times New Roman"/>
          <w:b w:val="0"/>
          <w:bCs/>
          <w:color w:val="000000"/>
          <w:spacing w:val="-4"/>
          <w:sz w:val="32"/>
          <w:szCs w:val="32"/>
          <w:highlight w:val="none"/>
          <w:lang w:val="en-US" w:eastAsia="zh-CN"/>
        </w:rPr>
      </w:pPr>
      <w:r>
        <w:rPr>
          <w:rFonts w:hint="default" w:ascii="Times New Roman" w:hAnsi="Times New Roman" w:eastAsia="仿宋_GB2312" w:cs="Times New Roman"/>
          <w:b w:val="0"/>
          <w:bCs/>
          <w:color w:val="000000"/>
          <w:spacing w:val="-4"/>
          <w:sz w:val="32"/>
          <w:szCs w:val="32"/>
          <w:highlight w:val="none"/>
          <w:lang w:val="en-US" w:eastAsia="zh-CN"/>
        </w:rPr>
        <w:t>2024年，昆仑路街道办事处基本支出5539.02万元，占总支出的67.25％，其中：社会保障和就业支出233.73万元，卫生健康支出134.24万元，城乡社区支出4938.57万元，住房保障支出232.48万元。</w:t>
      </w:r>
    </w:p>
    <w:p w14:paraId="2A41D98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仿宋_GB2312" w:cs="Times New Roman"/>
          <w:b/>
          <w:sz w:val="32"/>
          <w:szCs w:val="32"/>
          <w:highlight w:val="none"/>
          <w:lang w:val="en-US" w:eastAsia="zh-CN"/>
        </w:rPr>
      </w:pPr>
      <w:bookmarkStart w:id="455" w:name="_Toc9601"/>
      <w:r>
        <w:rPr>
          <w:rFonts w:hint="default" w:ascii="Times New Roman" w:hAnsi="Times New Roman" w:eastAsia="仿宋_GB2312" w:cs="Times New Roman"/>
          <w:b/>
          <w:sz w:val="32"/>
          <w:szCs w:val="32"/>
          <w:highlight w:val="none"/>
          <w:lang w:val="en-US" w:eastAsia="zh-CN"/>
        </w:rPr>
        <w:t>2.项目支出使用情况</w:t>
      </w:r>
      <w:bookmarkEnd w:id="455"/>
    </w:p>
    <w:p w14:paraId="499FA8EF">
      <w:pPr>
        <w:keepNext w:val="0"/>
        <w:keepLines w:val="0"/>
        <w:pageBreakBefore w:val="0"/>
        <w:widowControl w:val="0"/>
        <w:numPr>
          <w:ilvl w:val="0"/>
          <w:numId w:val="0"/>
        </w:numPr>
        <w:kinsoku/>
        <w:wordWrap/>
        <w:overflowPunct/>
        <w:topLinePunct w:val="0"/>
        <w:autoSpaceDE/>
        <w:autoSpaceDN/>
        <w:bidi w:val="0"/>
        <w:adjustRightInd/>
        <w:spacing w:line="560" w:lineRule="exact"/>
        <w:ind w:firstLine="624" w:firstLineChars="200"/>
        <w:textAlignment w:val="auto"/>
        <w:rPr>
          <w:rFonts w:hint="default" w:ascii="Times New Roman" w:hAnsi="Times New Roman" w:eastAsia="仿宋_GB2312" w:cs="Times New Roman"/>
          <w:b w:val="0"/>
          <w:bCs/>
          <w:color w:val="000000"/>
          <w:spacing w:val="-4"/>
          <w:sz w:val="32"/>
          <w:szCs w:val="32"/>
          <w:highlight w:val="none"/>
          <w:lang w:val="en-US" w:eastAsia="zh-CN"/>
        </w:rPr>
      </w:pPr>
      <w:r>
        <w:rPr>
          <w:rFonts w:hint="default" w:ascii="Times New Roman" w:hAnsi="Times New Roman" w:eastAsia="仿宋_GB2312" w:cs="Times New Roman"/>
          <w:b w:val="0"/>
          <w:bCs/>
          <w:color w:val="000000"/>
          <w:spacing w:val="-4"/>
          <w:sz w:val="32"/>
          <w:szCs w:val="32"/>
          <w:highlight w:val="none"/>
          <w:lang w:val="en-US" w:eastAsia="zh-CN"/>
        </w:rPr>
        <w:t>2024年，昆仑路街道办事处项目支出2696.95万元，占总支出的32.75％。其中：一般公共服务支出43.5万元，科学技术支出79.1万元，文化旅游体育与传媒支出5万元，社会保障和就业支出5.62万元，城乡社区支出2171.68万元，国有资本经营预算支出331.34万元，其他支出60.71万元。</w:t>
      </w:r>
    </w:p>
    <w:p w14:paraId="6AACD34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3" w:firstLineChars="200"/>
        <w:jc w:val="left"/>
        <w:textAlignment w:val="auto"/>
        <w:outlineLvl w:val="9"/>
        <w:rPr>
          <w:rFonts w:hint="default" w:ascii="Times New Roman" w:hAnsi="Times New Roman" w:eastAsia="楷体" w:cs="Times New Roman"/>
          <w:b/>
          <w:sz w:val="32"/>
          <w:szCs w:val="32"/>
          <w:highlight w:val="none"/>
          <w:lang w:val="en-US" w:eastAsia="zh-CN"/>
        </w:rPr>
      </w:pPr>
      <w:bookmarkStart w:id="456" w:name="_Toc3647"/>
      <w:r>
        <w:rPr>
          <w:rFonts w:hint="default" w:ascii="Times New Roman" w:hAnsi="Times New Roman" w:eastAsia="楷体" w:cs="Times New Roman"/>
          <w:b/>
          <w:sz w:val="32"/>
          <w:szCs w:val="32"/>
          <w:highlight w:val="none"/>
          <w:lang w:val="en-US" w:eastAsia="zh-CN"/>
        </w:rPr>
        <w:t>（二）部门单位整体支出绩效指标完成情况分析</w:t>
      </w:r>
      <w:bookmarkEnd w:id="456"/>
    </w:p>
    <w:p w14:paraId="33845785">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000000"/>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年初我单位设置部门整体绩效目标中包括一级指标1个（运行成本、管理效率、履职效能、社会效益、可持续发展能力、服务对象满意度），</w:t>
      </w:r>
      <w:r>
        <w:rPr>
          <w:rFonts w:hint="default" w:ascii="Times New Roman" w:hAnsi="Times New Roman" w:eastAsia="仿宋_GB2312" w:cs="Times New Roman"/>
          <w:bCs/>
          <w:color w:val="000000"/>
          <w:sz w:val="32"/>
          <w:szCs w:val="32"/>
          <w:highlight w:val="none"/>
          <w:lang w:val="en-US" w:eastAsia="zh-CN" w:bidi="ar"/>
        </w:rPr>
        <w:t>二级指标1个，三级指标4个，指标完成情况分析如下：</w:t>
      </w:r>
    </w:p>
    <w:p w14:paraId="11A54622">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rPr>
          <w:rFonts w:hint="default" w:ascii="Times New Roman" w:hAnsi="Times New Roman" w:eastAsia="楷体" w:cs="Times New Roman"/>
          <w:b/>
          <w:bCs w:val="0"/>
          <w:color w:val="auto"/>
          <w:sz w:val="32"/>
          <w:szCs w:val="32"/>
          <w:highlight w:val="none"/>
          <w:lang w:val="en-US" w:eastAsia="zh-CN" w:bidi="ar"/>
        </w:rPr>
      </w:pPr>
      <w:r>
        <w:rPr>
          <w:rFonts w:hint="default" w:ascii="Times New Roman" w:hAnsi="Times New Roman" w:eastAsia="楷体" w:cs="Times New Roman"/>
          <w:b/>
          <w:bCs w:val="0"/>
          <w:color w:val="auto"/>
          <w:sz w:val="32"/>
          <w:szCs w:val="32"/>
          <w:highlight w:val="none"/>
          <w:lang w:val="en-US" w:eastAsia="zh-CN" w:bidi="ar"/>
        </w:rPr>
        <w:t>1.履职效能</w:t>
      </w:r>
    </w:p>
    <w:p w14:paraId="1922DA68">
      <w:pPr>
        <w:keepNext w:val="0"/>
        <w:keepLines w:val="0"/>
        <w:pageBreakBefore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color w:val="000000"/>
          <w:kern w:val="0"/>
          <w:sz w:val="32"/>
          <w:szCs w:val="32"/>
          <w:highlight w:val="none"/>
          <w:lang w:val="en-US" w:eastAsia="zh-CN" w:bidi="ar"/>
        </w:rPr>
        <w:t>（1）</w:t>
      </w:r>
      <w:r>
        <w:rPr>
          <w:rFonts w:hint="default" w:ascii="Times New Roman" w:hAnsi="Times New Roman" w:eastAsia="仿宋_GB2312" w:cs="Times New Roman"/>
          <w:bCs/>
          <w:color w:val="auto"/>
          <w:sz w:val="32"/>
          <w:szCs w:val="32"/>
          <w:highlight w:val="none"/>
          <w:lang w:val="en-US" w:eastAsia="zh-CN" w:bidi="ar"/>
        </w:rPr>
        <w:t>数量指标</w:t>
      </w:r>
    </w:p>
    <w:p w14:paraId="51A55E44">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000000"/>
          <w:sz w:val="32"/>
          <w:szCs w:val="32"/>
          <w:highlight w:val="none"/>
          <w:lang w:val="en-US" w:eastAsia="zh-CN" w:bidi="ar"/>
        </w:rPr>
      </w:pPr>
      <w:r>
        <w:rPr>
          <w:rFonts w:hint="default" w:ascii="Times New Roman" w:hAnsi="Times New Roman" w:eastAsia="仿宋_GB2312" w:cs="Times New Roman"/>
          <w:bCs/>
          <w:color w:val="000000"/>
          <w:sz w:val="32"/>
          <w:szCs w:val="32"/>
          <w:highlight w:val="none"/>
          <w:lang w:val="en-US" w:eastAsia="zh-CN" w:bidi="ar"/>
        </w:rPr>
        <w:t>指标1：每年开展征兵工作，指标值：=2次，年中监控完成值：1次，自评完成值：2次，指标完成率100%（指标完成率=（实际完成值/指标值）*100%）偏差0%，偏差原因及改进措施：无，指标成效分析：为军队注入新鲜血液，优化军队人才结构，强化国防教育与社会动员，服务国家战略需求，促进青年成长成才。征兵工作不仅保障了国防安全需求，也成为青年实现人生价值的重要平台，体现了“军民融合”战略的深度实践。</w:t>
      </w:r>
    </w:p>
    <w:p w14:paraId="330E9163">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000000"/>
          <w:sz w:val="32"/>
          <w:szCs w:val="32"/>
          <w:highlight w:val="none"/>
          <w:lang w:val="en-US" w:eastAsia="zh-CN" w:bidi="ar"/>
        </w:rPr>
      </w:pPr>
      <w:r>
        <w:rPr>
          <w:rFonts w:hint="default" w:ascii="Times New Roman" w:hAnsi="Times New Roman" w:eastAsia="仿宋_GB2312" w:cs="Times New Roman"/>
          <w:bCs/>
          <w:color w:val="000000"/>
          <w:sz w:val="32"/>
          <w:szCs w:val="32"/>
          <w:highlight w:val="none"/>
          <w:lang w:val="en-US" w:eastAsia="zh-CN" w:bidi="ar"/>
        </w:rPr>
        <w:t>指标2：特扶家庭走访慰问次数，指标值：&gt;=10次，年中监控完成值：5次，自评完成值：10次，指标完成率100%（指标完成率=（实际完成值/指标值）*100%）偏差0%，偏差原因及改进措施：无，指标成效分析：体现党和国家的关怀，增强荣誉感与归属感，落实优抚政策，解决实际困难，促进社会和谐。特扶家庭走访慰问不仅是情感关怀，更是通过政策落地的制度保障，对维护社会稳定具有深远意义。</w:t>
      </w:r>
    </w:p>
    <w:p w14:paraId="01A38854">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000000"/>
          <w:sz w:val="32"/>
          <w:szCs w:val="32"/>
          <w:highlight w:val="none"/>
          <w:lang w:val="en-US" w:eastAsia="zh-CN" w:bidi="ar"/>
        </w:rPr>
      </w:pPr>
      <w:r>
        <w:rPr>
          <w:rFonts w:hint="default" w:ascii="Times New Roman" w:hAnsi="Times New Roman" w:eastAsia="仿宋_GB2312" w:cs="Times New Roman"/>
          <w:bCs/>
          <w:color w:val="000000"/>
          <w:sz w:val="32"/>
          <w:szCs w:val="32"/>
          <w:highlight w:val="none"/>
          <w:lang w:val="en-US" w:eastAsia="zh-CN" w:bidi="ar"/>
        </w:rPr>
        <w:t>指标3：开展普法活动，指标值：&gt;=4次，年中监控完成值：1次，自评完成值：4次，指标完成率100%（指标完成率=（实际完成值/指标值）*100%）偏差0%，偏差原因及改进措施：无，指标成效分析：全面贯彻落实科学发展观，营造良好的法治环境，增强公民和国家机关工作人员的法治观念和法律素质，提高各级政府和部门运用法律手段处理问题的能力，提高公民法律意识，促使其维护自身合法权益，开展普法活动在推动经济社会发展、构建和谐社会、实施依法治国方略以及提升社会治理水平等方面都具有重要意义。</w:t>
      </w:r>
    </w:p>
    <w:p w14:paraId="5A76CB17">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000000"/>
          <w:sz w:val="32"/>
          <w:szCs w:val="32"/>
          <w:highlight w:val="none"/>
          <w:lang w:val="en-US" w:eastAsia="zh-CN" w:bidi="ar"/>
        </w:rPr>
      </w:pPr>
      <w:r>
        <w:rPr>
          <w:rFonts w:hint="default" w:ascii="Times New Roman" w:hAnsi="Times New Roman" w:eastAsia="仿宋_GB2312" w:cs="Times New Roman"/>
          <w:bCs/>
          <w:color w:val="000000"/>
          <w:sz w:val="32"/>
          <w:szCs w:val="32"/>
          <w:highlight w:val="none"/>
          <w:lang w:val="en-US" w:eastAsia="zh-CN" w:bidi="ar"/>
        </w:rPr>
        <w:t>指标4：党员集中教育次数，指标值：&gt;=45次，年中监控完成值：20次，自评完成值：45次，指标完成率100%（指标完成率=（实际完成值/指标值）*100%）偏差0%，偏差原因及改进措施：无，指标成效分析：党员集中教育是加强党的建设、保持党的先进性和纯洁性的重要手段，对于提升党员素质、强化组织凝聚力、推动党和国家事业发展具有深远意义。强化党员理想信念与政治素养，提升党员能力与模范作用，严明纪律与作风建设，筑牢廉洁自律防线。</w:t>
      </w:r>
    </w:p>
    <w:p w14:paraId="2DC0370D">
      <w:pPr>
        <w:pStyle w:val="7"/>
        <w:rPr>
          <w:rFonts w:hint="default" w:ascii="Times New Roman" w:hAnsi="Times New Roman" w:cs="Times New Roman"/>
          <w:highlight w:val="none"/>
          <w:lang w:val="en-US" w:eastAsia="zh-CN"/>
        </w:rPr>
      </w:pPr>
    </w:p>
    <w:p w14:paraId="1657A4BD">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outlineLvl w:val="9"/>
        <w:rPr>
          <w:rFonts w:hint="default" w:ascii="Times New Roman" w:hAnsi="Times New Roman" w:eastAsia="黑体" w:cs="Times New Roman"/>
          <w:bCs/>
          <w:color w:val="333333"/>
          <w:kern w:val="2"/>
          <w:sz w:val="32"/>
          <w:szCs w:val="32"/>
          <w:highlight w:val="none"/>
          <w:lang w:val="en-US" w:eastAsia="zh-CN" w:bidi="ar"/>
        </w:rPr>
      </w:pPr>
      <w:bookmarkStart w:id="457" w:name="_Toc7253"/>
      <w:r>
        <w:rPr>
          <w:rFonts w:hint="default" w:ascii="Times New Roman" w:hAnsi="Times New Roman" w:eastAsia="黑体" w:cs="Times New Roman"/>
          <w:bCs/>
          <w:color w:val="333333"/>
          <w:kern w:val="2"/>
          <w:sz w:val="32"/>
          <w:szCs w:val="32"/>
          <w:highlight w:val="none"/>
          <w:lang w:val="en-US" w:eastAsia="zh-CN" w:bidi="ar"/>
        </w:rPr>
        <w:t>四、评价结论</w:t>
      </w:r>
      <w:bookmarkEnd w:id="457"/>
    </w:p>
    <w:p w14:paraId="677B7EBA">
      <w:pPr>
        <w:keepNext w:val="0"/>
        <w:keepLines w:val="0"/>
        <w:pageBreakBefore w:val="0"/>
        <w:kinsoku/>
        <w:wordWrap/>
        <w:overflowPunct/>
        <w:topLinePunct w:val="0"/>
        <w:autoSpaceDE/>
        <w:autoSpaceDN/>
        <w:bidi w:val="0"/>
        <w:adjustRightInd/>
        <w:spacing w:line="560" w:lineRule="exact"/>
        <w:ind w:firstLine="564" w:firstLineChars="181"/>
        <w:textAlignment w:val="auto"/>
        <w:rPr>
          <w:rStyle w:val="15"/>
          <w:rFonts w:hint="default" w:ascii="Times New Roman" w:hAnsi="Times New Roman" w:eastAsia="仿宋_GB2312" w:cs="Times New Roman"/>
          <w:b w:val="0"/>
          <w:color w:val="auto"/>
          <w:spacing w:val="-4"/>
          <w:sz w:val="32"/>
          <w:szCs w:val="32"/>
          <w:highlight w:val="none"/>
          <w:lang w:eastAsia="zh-CN"/>
        </w:rPr>
      </w:pPr>
      <w:r>
        <w:rPr>
          <w:rStyle w:val="15"/>
          <w:rFonts w:hint="default" w:ascii="Times New Roman" w:hAnsi="Times New Roman" w:eastAsia="仿宋_GB2312" w:cs="Times New Roman"/>
          <w:b w:val="0"/>
          <w:spacing w:val="-4"/>
          <w:sz w:val="32"/>
          <w:szCs w:val="32"/>
          <w:highlight w:val="none"/>
        </w:rPr>
        <w:t>20</w:t>
      </w:r>
      <w:r>
        <w:rPr>
          <w:rStyle w:val="15"/>
          <w:rFonts w:hint="default" w:ascii="Times New Roman" w:hAnsi="Times New Roman" w:eastAsia="仿宋_GB2312" w:cs="Times New Roman"/>
          <w:b w:val="0"/>
          <w:spacing w:val="-4"/>
          <w:sz w:val="32"/>
          <w:szCs w:val="32"/>
          <w:highlight w:val="none"/>
          <w:lang w:val="en-US" w:eastAsia="zh-CN"/>
        </w:rPr>
        <w:t>24</w:t>
      </w:r>
      <w:r>
        <w:rPr>
          <w:rStyle w:val="15"/>
          <w:rFonts w:hint="default" w:ascii="Times New Roman" w:hAnsi="Times New Roman" w:eastAsia="仿宋_GB2312" w:cs="Times New Roman"/>
          <w:b w:val="0"/>
          <w:color w:val="auto"/>
          <w:spacing w:val="-4"/>
          <w:sz w:val="32"/>
          <w:szCs w:val="32"/>
          <w:highlight w:val="none"/>
        </w:rPr>
        <w:t>年度部门整体支出绩效</w:t>
      </w:r>
      <w:r>
        <w:rPr>
          <w:rStyle w:val="15"/>
          <w:rFonts w:hint="default" w:ascii="Times New Roman" w:hAnsi="Times New Roman" w:eastAsia="仿宋_GB2312" w:cs="Times New Roman"/>
          <w:b w:val="0"/>
          <w:color w:val="auto"/>
          <w:spacing w:val="-4"/>
          <w:sz w:val="32"/>
          <w:szCs w:val="32"/>
          <w:highlight w:val="none"/>
          <w:lang w:val="en-US" w:eastAsia="zh-CN"/>
        </w:rPr>
        <w:t>评价</w:t>
      </w:r>
      <w:r>
        <w:rPr>
          <w:rStyle w:val="15"/>
          <w:rFonts w:hint="default" w:ascii="Times New Roman" w:hAnsi="Times New Roman" w:eastAsia="仿宋_GB2312" w:cs="Times New Roman"/>
          <w:b w:val="0"/>
          <w:color w:val="auto"/>
          <w:spacing w:val="-4"/>
          <w:sz w:val="32"/>
          <w:szCs w:val="32"/>
          <w:highlight w:val="none"/>
        </w:rPr>
        <w:t>综合得分</w:t>
      </w:r>
      <w:r>
        <w:rPr>
          <w:rStyle w:val="15"/>
          <w:rFonts w:hint="default" w:ascii="Times New Roman" w:hAnsi="Times New Roman" w:eastAsia="仿宋_GB2312" w:cs="Times New Roman"/>
          <w:b w:val="0"/>
          <w:color w:val="auto"/>
          <w:spacing w:val="-4"/>
          <w:sz w:val="32"/>
          <w:szCs w:val="32"/>
          <w:highlight w:val="none"/>
          <w:lang w:val="en-US" w:eastAsia="zh-CN"/>
        </w:rPr>
        <w:t>100</w:t>
      </w:r>
      <w:r>
        <w:rPr>
          <w:rStyle w:val="15"/>
          <w:rFonts w:hint="default" w:ascii="Times New Roman" w:hAnsi="Times New Roman" w:eastAsia="仿宋_GB2312" w:cs="Times New Roman"/>
          <w:b w:val="0"/>
          <w:color w:val="auto"/>
          <w:spacing w:val="-4"/>
          <w:sz w:val="32"/>
          <w:szCs w:val="32"/>
          <w:highlight w:val="none"/>
        </w:rPr>
        <w:t>分，评价结果为“</w:t>
      </w:r>
      <w:r>
        <w:rPr>
          <w:rStyle w:val="15"/>
          <w:rFonts w:hint="default" w:ascii="Times New Roman" w:hAnsi="Times New Roman" w:eastAsia="仿宋_GB2312" w:cs="Times New Roman"/>
          <w:b w:val="0"/>
          <w:color w:val="auto"/>
          <w:spacing w:val="-4"/>
          <w:sz w:val="32"/>
          <w:szCs w:val="32"/>
          <w:highlight w:val="none"/>
          <w:lang w:val="en-US" w:eastAsia="zh-CN"/>
        </w:rPr>
        <w:t>良</w:t>
      </w:r>
      <w:r>
        <w:rPr>
          <w:rStyle w:val="15"/>
          <w:rFonts w:hint="default" w:ascii="Times New Roman" w:hAnsi="Times New Roman" w:eastAsia="仿宋_GB2312" w:cs="Times New Roman"/>
          <w:b w:val="0"/>
          <w:color w:val="auto"/>
          <w:spacing w:val="-4"/>
          <w:sz w:val="32"/>
          <w:szCs w:val="32"/>
          <w:highlight w:val="none"/>
        </w:rPr>
        <w:t>”。</w:t>
      </w:r>
      <w:r>
        <w:rPr>
          <w:rStyle w:val="15"/>
          <w:rFonts w:hint="default" w:ascii="Times New Roman" w:hAnsi="Times New Roman" w:eastAsia="仿宋_GB2312" w:cs="Times New Roman"/>
          <w:b w:val="0"/>
          <w:color w:val="auto"/>
          <w:spacing w:val="-4"/>
          <w:sz w:val="32"/>
          <w:szCs w:val="32"/>
          <w:highlight w:val="none"/>
          <w:lang w:eastAsia="zh-CN"/>
        </w:rPr>
        <w:t>（</w:t>
      </w:r>
      <w:r>
        <w:rPr>
          <w:rStyle w:val="15"/>
          <w:rFonts w:hint="default" w:ascii="Times New Roman" w:hAnsi="Times New Roman" w:eastAsia="仿宋_GB2312" w:cs="Times New Roman"/>
          <w:b w:val="0"/>
          <w:color w:val="auto"/>
          <w:spacing w:val="-4"/>
          <w:sz w:val="32"/>
          <w:szCs w:val="32"/>
          <w:highlight w:val="none"/>
          <w:lang w:val="en-US" w:eastAsia="zh-CN"/>
        </w:rPr>
        <w:t>填写自评表中得分。90（含）-100分为优、80（含）-90分为良、60（含）-80分为中、60分以下为差</w:t>
      </w:r>
      <w:r>
        <w:rPr>
          <w:rStyle w:val="15"/>
          <w:rFonts w:hint="default" w:ascii="Times New Roman" w:hAnsi="Times New Roman" w:eastAsia="仿宋_GB2312" w:cs="Times New Roman"/>
          <w:b w:val="0"/>
          <w:color w:val="auto"/>
          <w:spacing w:val="-4"/>
          <w:sz w:val="32"/>
          <w:szCs w:val="32"/>
          <w:highlight w:val="none"/>
          <w:lang w:eastAsia="zh-CN"/>
        </w:rPr>
        <w:t>）</w:t>
      </w:r>
    </w:p>
    <w:p w14:paraId="1D7FD745">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outlineLvl w:val="9"/>
        <w:rPr>
          <w:rFonts w:hint="default" w:ascii="Times New Roman" w:hAnsi="Times New Roman" w:eastAsia="黑体" w:cs="Times New Roman"/>
          <w:bCs/>
          <w:color w:val="auto"/>
          <w:sz w:val="32"/>
          <w:szCs w:val="32"/>
          <w:highlight w:val="none"/>
          <w:lang w:bidi="ar"/>
        </w:rPr>
      </w:pPr>
      <w:bookmarkStart w:id="458" w:name="_Toc12815"/>
      <w:r>
        <w:rPr>
          <w:rFonts w:hint="default" w:ascii="Times New Roman" w:hAnsi="Times New Roman" w:eastAsia="黑体" w:cs="Times New Roman"/>
          <w:bCs/>
          <w:color w:val="auto"/>
          <w:kern w:val="2"/>
          <w:sz w:val="32"/>
          <w:szCs w:val="32"/>
          <w:highlight w:val="none"/>
          <w:lang w:val="en-US" w:eastAsia="zh-CN" w:bidi="ar"/>
        </w:rPr>
        <w:t>五、</w:t>
      </w:r>
      <w:r>
        <w:rPr>
          <w:rFonts w:hint="default" w:ascii="Times New Roman" w:hAnsi="Times New Roman" w:eastAsia="黑体" w:cs="Times New Roman"/>
          <w:bCs/>
          <w:color w:val="auto"/>
          <w:sz w:val="32"/>
          <w:szCs w:val="32"/>
          <w:highlight w:val="none"/>
          <w:lang w:bidi="ar"/>
        </w:rPr>
        <w:t>存在的主要问题</w:t>
      </w:r>
      <w:bookmarkEnd w:id="458"/>
    </w:p>
    <w:p w14:paraId="43393415">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left"/>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59" w:name="_Toc9758"/>
      <w:r>
        <w:rPr>
          <w:rFonts w:hint="default" w:ascii="Times New Roman" w:hAnsi="Times New Roman" w:eastAsia="楷体" w:cs="Times New Roman"/>
          <w:b/>
          <w:bCs w:val="0"/>
          <w:color w:val="auto"/>
          <w:sz w:val="32"/>
          <w:szCs w:val="32"/>
          <w:highlight w:val="none"/>
          <w:lang w:val="en-US" w:eastAsia="zh-CN" w:bidi="ar"/>
        </w:rPr>
        <w:t>（一）绩效指标设置不够明确</w:t>
      </w:r>
      <w:bookmarkEnd w:id="459"/>
    </w:p>
    <w:p w14:paraId="6436226D">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我单位部分绩效指标设置存在不够精简、指标数据无法统计和指标值设置过低等问题，部分项目绩效指标值设定为定性的指标，指标设置的科学性、合理性有待进一步提高。</w:t>
      </w:r>
    </w:p>
    <w:p w14:paraId="181EBF43">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left"/>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60" w:name="_Toc2729"/>
      <w:r>
        <w:rPr>
          <w:rFonts w:hint="default" w:ascii="Times New Roman" w:hAnsi="Times New Roman" w:eastAsia="楷体" w:cs="Times New Roman"/>
          <w:b/>
          <w:bCs w:val="0"/>
          <w:color w:val="auto"/>
          <w:sz w:val="32"/>
          <w:szCs w:val="32"/>
          <w:highlight w:val="none"/>
          <w:lang w:val="en-US" w:eastAsia="zh-CN" w:bidi="ar"/>
        </w:rPr>
        <w:t>（二）固定资产账务管理不够细致、严谨</w:t>
      </w:r>
      <w:bookmarkEnd w:id="460"/>
    </w:p>
    <w:p w14:paraId="454860C3">
      <w:pPr>
        <w:keepNext w:val="0"/>
        <w:keepLines w:val="0"/>
        <w:pageBreakBefore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抽查发现，我单位固定资产账务管理存在入账不及时、漏入、入账信息、金额不准确或资产台账未登记到具体使用人等问题。</w:t>
      </w:r>
    </w:p>
    <w:p w14:paraId="00A7F8F5">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left"/>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61" w:name="_Toc14737"/>
      <w:r>
        <w:rPr>
          <w:rFonts w:hint="default" w:ascii="Times New Roman" w:hAnsi="Times New Roman" w:eastAsia="楷体" w:cs="Times New Roman"/>
          <w:b/>
          <w:bCs w:val="0"/>
          <w:color w:val="auto"/>
          <w:sz w:val="32"/>
          <w:szCs w:val="32"/>
          <w:highlight w:val="none"/>
          <w:lang w:val="en-US" w:eastAsia="zh-CN" w:bidi="ar"/>
        </w:rPr>
        <w:t>（三）项目监督工作存在薄弱环节</w:t>
      </w:r>
      <w:bookmarkEnd w:id="461"/>
    </w:p>
    <w:p w14:paraId="6572DA33">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项目实施过程中的上报、跟踪、反馈机制尚未真正形成，对项目资金的使用、实施等监管措施仍然存在改进的空间。</w:t>
      </w:r>
    </w:p>
    <w:p w14:paraId="4873CF19">
      <w:pPr>
        <w:keepNext w:val="0"/>
        <w:keepLines w:val="0"/>
        <w:pageBreakBefore w:val="0"/>
        <w:numPr>
          <w:ilvl w:val="0"/>
          <w:numId w:val="0"/>
        </w:numPr>
        <w:kinsoku/>
        <w:wordWrap/>
        <w:overflowPunct/>
        <w:topLinePunct w:val="0"/>
        <w:autoSpaceDE/>
        <w:autoSpaceDN/>
        <w:bidi w:val="0"/>
        <w:adjustRightInd/>
        <w:snapToGrid w:val="0"/>
        <w:spacing w:line="560" w:lineRule="exact"/>
        <w:ind w:left="1368" w:leftChars="0" w:hanging="720" w:firstLineChars="0"/>
        <w:textAlignment w:val="auto"/>
        <w:outlineLvl w:val="9"/>
        <w:rPr>
          <w:rFonts w:hint="default" w:ascii="Times New Roman" w:hAnsi="Times New Roman" w:eastAsia="黑体" w:cs="Times New Roman"/>
          <w:bCs/>
          <w:color w:val="auto"/>
          <w:sz w:val="32"/>
          <w:szCs w:val="32"/>
          <w:highlight w:val="none"/>
          <w:lang w:bidi="ar"/>
        </w:rPr>
      </w:pPr>
      <w:bookmarkStart w:id="462" w:name="_Toc31536"/>
      <w:r>
        <w:rPr>
          <w:rFonts w:hint="default" w:ascii="Times New Roman" w:hAnsi="Times New Roman" w:eastAsia="黑体" w:cs="Times New Roman"/>
          <w:bCs/>
          <w:color w:val="auto"/>
          <w:kern w:val="2"/>
          <w:sz w:val="32"/>
          <w:szCs w:val="32"/>
          <w:highlight w:val="none"/>
          <w:lang w:val="en-US" w:eastAsia="zh-CN" w:bidi="ar"/>
        </w:rPr>
        <w:t>六、</w:t>
      </w:r>
      <w:r>
        <w:rPr>
          <w:rFonts w:hint="default" w:ascii="Times New Roman" w:hAnsi="Times New Roman" w:eastAsia="黑体" w:cs="Times New Roman"/>
          <w:bCs/>
          <w:color w:val="auto"/>
          <w:sz w:val="32"/>
          <w:szCs w:val="32"/>
          <w:highlight w:val="none"/>
          <w:lang w:bidi="ar"/>
        </w:rPr>
        <w:t>改进措施和建议</w:t>
      </w:r>
      <w:bookmarkEnd w:id="462"/>
    </w:p>
    <w:p w14:paraId="06679913">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left"/>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63" w:name="_Toc24446"/>
      <w:r>
        <w:rPr>
          <w:rFonts w:hint="default" w:ascii="Times New Roman" w:hAnsi="Times New Roman" w:eastAsia="楷体" w:cs="Times New Roman"/>
          <w:b/>
          <w:bCs w:val="0"/>
          <w:color w:val="auto"/>
          <w:sz w:val="32"/>
          <w:szCs w:val="32"/>
          <w:highlight w:val="none"/>
          <w:lang w:val="en-US" w:eastAsia="zh-CN" w:bidi="ar"/>
        </w:rPr>
        <w:t>（一）强化部门绩效管理体系建设</w:t>
      </w:r>
      <w:bookmarkEnd w:id="463"/>
    </w:p>
    <w:p w14:paraId="13FA5219">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一是建议以规章规则的形式，出台绩效管理制度，对绩效管理的目的、意义、性质和特点，以及组织实施绩效管理的程序、步骤、方法、原则和要求进行统一的规定。二是合理设置年度任务。提高各处室对部门中长期规划的重视程度，增强相关规划的落地性、导向性。三是探索符合部门工作特点的评价指标体系。在设定绩效目标时选取相关性强的量化指标，并注重选取符合实际工作情况的指标值。</w:t>
      </w:r>
    </w:p>
    <w:p w14:paraId="79862B64">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left"/>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64" w:name="_Toc14981"/>
      <w:r>
        <w:rPr>
          <w:rFonts w:hint="default" w:ascii="Times New Roman" w:hAnsi="Times New Roman" w:eastAsia="楷体" w:cs="Times New Roman"/>
          <w:b/>
          <w:bCs w:val="0"/>
          <w:color w:val="auto"/>
          <w:sz w:val="32"/>
          <w:szCs w:val="32"/>
          <w:highlight w:val="none"/>
          <w:lang w:val="en-US" w:eastAsia="zh-CN" w:bidi="ar"/>
        </w:rPr>
        <w:t>（二）加强固定资产账务管理，确保账实相符</w:t>
      </w:r>
      <w:bookmarkEnd w:id="464"/>
    </w:p>
    <w:p w14:paraId="3FE78726">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left"/>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针对抽查发现的问题，查找根源并改进，建议：一是加强年度政府采购台账和固定资产台账信息的比对，避免资产漏入、少入或录入不及时，二是资产领用应尽可能明确到具体使用人。三是资产入账时相关人员应再次确认发票、合同信息，避免基础信息录入错误</w:t>
      </w:r>
    </w:p>
    <w:p w14:paraId="2F8BE09C">
      <w:pPr>
        <w:keepNext w:val="0"/>
        <w:keepLines w:val="0"/>
        <w:pageBreakBefore w:val="0"/>
        <w:widowControl/>
        <w:suppressLineNumbers w:val="0"/>
        <w:kinsoku/>
        <w:wordWrap/>
        <w:overflowPunct/>
        <w:topLinePunct w:val="0"/>
        <w:autoSpaceDE/>
        <w:autoSpaceDN/>
        <w:bidi w:val="0"/>
        <w:adjustRightInd/>
        <w:spacing w:line="560" w:lineRule="exact"/>
        <w:ind w:firstLine="643" w:firstLineChars="200"/>
        <w:jc w:val="both"/>
        <w:textAlignment w:val="auto"/>
        <w:outlineLvl w:val="9"/>
        <w:rPr>
          <w:rFonts w:hint="default" w:ascii="Times New Roman" w:hAnsi="Times New Roman" w:eastAsia="楷体" w:cs="Times New Roman"/>
          <w:b/>
          <w:bCs w:val="0"/>
          <w:color w:val="auto"/>
          <w:sz w:val="32"/>
          <w:szCs w:val="32"/>
          <w:highlight w:val="none"/>
          <w:lang w:val="en-US" w:eastAsia="zh-CN" w:bidi="ar"/>
        </w:rPr>
      </w:pPr>
      <w:bookmarkStart w:id="465" w:name="_Toc18250"/>
      <w:r>
        <w:rPr>
          <w:rFonts w:hint="default" w:ascii="Times New Roman" w:hAnsi="Times New Roman" w:eastAsia="楷体" w:cs="Times New Roman"/>
          <w:b/>
          <w:bCs w:val="0"/>
          <w:color w:val="auto"/>
          <w:sz w:val="32"/>
          <w:szCs w:val="32"/>
          <w:highlight w:val="none"/>
          <w:lang w:val="en-US" w:eastAsia="zh-CN" w:bidi="ar"/>
        </w:rPr>
        <w:t>（三）建立动态分析管理机制，提高项目监管主动性</w:t>
      </w:r>
      <w:bookmarkEnd w:id="465"/>
    </w:p>
    <w:p w14:paraId="4F0DFB90">
      <w:pPr>
        <w:keepNext w:val="0"/>
        <w:keepLines w:val="0"/>
        <w:pageBreakBefore w:val="0"/>
        <w:widowControl/>
        <w:suppressLineNumbers w:val="0"/>
        <w:kinsoku/>
        <w:wordWrap/>
        <w:overflowPunct/>
        <w:topLinePunct w:val="0"/>
        <w:autoSpaceDE/>
        <w:autoSpaceDN/>
        <w:bidi w:val="0"/>
        <w:adjustRightInd/>
        <w:spacing w:line="560" w:lineRule="exact"/>
        <w:ind w:firstLine="640" w:firstLineChars="200"/>
        <w:jc w:val="both"/>
        <w:textAlignment w:val="auto"/>
        <w:rPr>
          <w:rFonts w:hint="default" w:ascii="Times New Roman" w:hAnsi="Times New Roman" w:eastAsia="仿宋_GB2312" w:cs="Times New Roman"/>
          <w:bCs/>
          <w:color w:val="auto"/>
          <w:sz w:val="32"/>
          <w:szCs w:val="32"/>
          <w:highlight w:val="none"/>
          <w:lang w:val="en-US" w:eastAsia="zh-CN" w:bidi="ar"/>
        </w:rPr>
      </w:pPr>
      <w:r>
        <w:rPr>
          <w:rFonts w:hint="default" w:ascii="Times New Roman" w:hAnsi="Times New Roman" w:eastAsia="仿宋_GB2312" w:cs="Times New Roman"/>
          <w:bCs/>
          <w:color w:val="auto"/>
          <w:sz w:val="32"/>
          <w:szCs w:val="32"/>
          <w:highlight w:val="none"/>
          <w:lang w:val="en-US" w:eastAsia="zh-CN" w:bidi="ar"/>
        </w:rPr>
        <w:t>业务部门进行指导、监督和检查时进一步加强主动性，积极探索更有效和积极主动的监管方式。一方面要建立重点项目实施过程的反馈机制，依托相关XX信息平台，加大对重点部门、重点项目的监控力度，并建立对重点项目实施情况按月度上报机制，及时督促相关地区对政策的落地执行，提高对项目的整体把控能力。另一方面积极主动下基层进行抽查和检查，强化对基层单位和“微权力”的管理监督。同时进一步扩大抽查覆盖面，或聘请专业第三方机构对项目运行情况进行事中、事后监控。</w:t>
      </w:r>
    </w:p>
    <w:p w14:paraId="676D30B8">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left="1360" w:leftChars="0" w:hanging="720" w:firstLineChars="0"/>
        <w:textAlignment w:val="auto"/>
        <w:outlineLvl w:val="9"/>
        <w:rPr>
          <w:rFonts w:hint="default" w:ascii="Times New Roman" w:hAnsi="Times New Roman" w:eastAsia="黑体" w:cs="Times New Roman"/>
          <w:b w:val="0"/>
          <w:bCs/>
          <w:spacing w:val="-4"/>
          <w:kern w:val="2"/>
          <w:sz w:val="32"/>
          <w:szCs w:val="32"/>
          <w:highlight w:val="none"/>
          <w:lang w:val="en-US" w:eastAsia="zh-CN" w:bidi="ar-SA"/>
        </w:rPr>
      </w:pPr>
      <w:bookmarkStart w:id="466" w:name="_Toc26203"/>
      <w:bookmarkStart w:id="467" w:name="_Toc16938"/>
    </w:p>
    <w:p w14:paraId="4BD8E71F">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left="1360" w:leftChars="0" w:hanging="720" w:firstLineChars="0"/>
        <w:textAlignment w:val="auto"/>
        <w:outlineLvl w:val="9"/>
        <w:rPr>
          <w:rFonts w:hint="default" w:ascii="Times New Roman" w:hAnsi="Times New Roman" w:eastAsia="黑体" w:cs="Times New Roman"/>
          <w:b w:val="0"/>
          <w:bCs/>
          <w:spacing w:val="-4"/>
          <w:kern w:val="2"/>
          <w:sz w:val="32"/>
          <w:szCs w:val="32"/>
          <w:highlight w:val="none"/>
          <w:lang w:val="en-US" w:eastAsia="zh-CN" w:bidi="ar-SA"/>
        </w:rPr>
      </w:pPr>
    </w:p>
    <w:p w14:paraId="7D12CBA1">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left="1360" w:leftChars="0" w:hanging="720" w:firstLineChars="0"/>
        <w:textAlignment w:val="auto"/>
        <w:outlineLvl w:val="9"/>
        <w:rPr>
          <w:rFonts w:hint="default" w:ascii="Times New Roman" w:hAnsi="Times New Roman" w:eastAsia="黑体" w:cs="Times New Roman"/>
          <w:b w:val="0"/>
          <w:bCs/>
          <w:spacing w:val="-4"/>
          <w:kern w:val="2"/>
          <w:sz w:val="32"/>
          <w:szCs w:val="32"/>
          <w:highlight w:val="none"/>
          <w:lang w:val="en-US" w:eastAsia="zh-CN" w:bidi="ar-SA"/>
        </w:rPr>
      </w:pPr>
    </w:p>
    <w:p w14:paraId="43D1BF56">
      <w:pPr>
        <w:pStyle w:val="19"/>
        <w:keepNext w:val="0"/>
        <w:keepLines w:val="0"/>
        <w:pageBreakBefore w:val="0"/>
        <w:numPr>
          <w:ilvl w:val="0"/>
          <w:numId w:val="0"/>
        </w:numPr>
        <w:kinsoku/>
        <w:wordWrap/>
        <w:overflowPunct/>
        <w:topLinePunct w:val="0"/>
        <w:autoSpaceDE/>
        <w:autoSpaceDN/>
        <w:bidi w:val="0"/>
        <w:adjustRightInd/>
        <w:snapToGrid w:val="0"/>
        <w:spacing w:line="560" w:lineRule="exact"/>
        <w:ind w:left="1360" w:leftChars="0" w:hanging="720" w:firstLineChars="0"/>
        <w:textAlignment w:val="auto"/>
        <w:outlineLvl w:val="9"/>
        <w:rPr>
          <w:rFonts w:hint="default" w:ascii="Times New Roman" w:hAnsi="Times New Roman" w:eastAsia="黑体" w:cs="Times New Roman"/>
          <w:b w:val="0"/>
          <w:bCs/>
          <w:spacing w:val="-4"/>
          <w:kern w:val="2"/>
          <w:sz w:val="32"/>
          <w:szCs w:val="32"/>
          <w:highlight w:val="none"/>
          <w:lang w:val="en-US" w:eastAsia="zh-CN" w:bidi="ar-SA"/>
        </w:rPr>
      </w:pPr>
    </w:p>
    <w:p w14:paraId="403594DE">
      <w:pPr>
        <w:pStyle w:val="19"/>
        <w:numPr>
          <w:ilvl w:val="0"/>
          <w:numId w:val="0"/>
        </w:numPr>
        <w:adjustRightInd/>
        <w:ind w:left="1360" w:hanging="720"/>
        <w:textAlignment w:val="auto"/>
        <w:outlineLvl w:val="9"/>
        <w:rPr>
          <w:rFonts w:ascii="Times New Roman" w:hAnsi="Times New Roman" w:cs="Times New Roman"/>
          <w:highlight w:val="none"/>
        </w:rPr>
      </w:pPr>
      <w:r>
        <w:rPr>
          <w:rFonts w:hint="default" w:ascii="Times New Roman" w:hAnsi="Times New Roman" w:eastAsia="黑体" w:cs="Times New Roman"/>
          <w:b w:val="0"/>
          <w:bCs/>
          <w:spacing w:val="-4"/>
          <w:kern w:val="2"/>
          <w:sz w:val="32"/>
          <w:szCs w:val="32"/>
          <w:highlight w:val="none"/>
          <w:lang w:val="en-US" w:eastAsia="zh-CN" w:bidi="ar-SA"/>
        </w:rPr>
        <w:t>七、</w:t>
      </w:r>
      <w:r>
        <w:rPr>
          <w:rStyle w:val="15"/>
          <w:rFonts w:hint="default" w:ascii="Times New Roman" w:hAnsi="Times New Roman" w:eastAsia="黑体" w:cs="Times New Roman"/>
          <w:b w:val="0"/>
          <w:bCs w:val="0"/>
          <w:spacing w:val="-4"/>
          <w:sz w:val="32"/>
          <w:szCs w:val="32"/>
          <w:highlight w:val="none"/>
        </w:rPr>
        <w:t>附表：</w:t>
      </w:r>
      <w:r>
        <w:rPr>
          <w:rStyle w:val="15"/>
          <w:rFonts w:hint="default" w:ascii="Times New Roman" w:hAnsi="Times New Roman" w:eastAsia="仿宋_GB2312" w:cs="Times New Roman"/>
          <w:b w:val="0"/>
          <w:spacing w:val="-4"/>
          <w:sz w:val="32"/>
          <w:szCs w:val="32"/>
          <w:highlight w:val="none"/>
        </w:rPr>
        <w:t>《</w:t>
      </w:r>
      <w:r>
        <w:rPr>
          <w:rStyle w:val="15"/>
          <w:rFonts w:hint="default" w:ascii="Times New Roman" w:hAnsi="Times New Roman" w:eastAsia="仿宋_GB2312" w:cs="Times New Roman"/>
          <w:b w:val="0"/>
          <w:bCs w:val="0"/>
          <w:spacing w:val="-4"/>
          <w:sz w:val="32"/>
          <w:szCs w:val="32"/>
          <w:highlight w:val="none"/>
        </w:rPr>
        <w:t>部门整体支出绩效目标自评表</w:t>
      </w:r>
      <w:r>
        <w:rPr>
          <w:rStyle w:val="15"/>
          <w:rFonts w:hint="default" w:ascii="Times New Roman" w:hAnsi="Times New Roman" w:eastAsia="仿宋_GB2312" w:cs="Times New Roman"/>
          <w:b w:val="0"/>
          <w:spacing w:val="-4"/>
          <w:sz w:val="32"/>
          <w:szCs w:val="32"/>
          <w:highlight w:val="none"/>
        </w:rPr>
        <w:t>》</w:t>
      </w:r>
      <w:bookmarkEnd w:id="466"/>
      <w:bookmarkEnd w:id="467"/>
    </w:p>
    <w:p w14:paraId="7C14C296">
      <w:pPr>
        <w:rPr>
          <w:rFonts w:ascii="Times New Roman" w:hAnsi="Times New Roman" w:cs="Times New Roman"/>
          <w:highlight w:val="none"/>
        </w:rPr>
      </w:pP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3"/>
        <w:gridCol w:w="1138"/>
        <w:gridCol w:w="1200"/>
        <w:gridCol w:w="917"/>
        <w:gridCol w:w="1263"/>
        <w:gridCol w:w="999"/>
        <w:gridCol w:w="999"/>
        <w:gridCol w:w="694"/>
        <w:gridCol w:w="619"/>
      </w:tblGrid>
      <w:tr w14:paraId="21D29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9"/>
            <w:tcBorders>
              <w:top w:val="nil"/>
              <w:left w:val="nil"/>
              <w:bottom w:val="nil"/>
              <w:right w:val="nil"/>
            </w:tcBorders>
            <w:noWrap w:val="0"/>
            <w:vAlign w:val="center"/>
          </w:tcPr>
          <w:p w14:paraId="6737DA9A">
            <w:pPr>
              <w:keepNext w:val="0"/>
              <w:keepLines w:val="0"/>
              <w:widowControl/>
              <w:suppressLineNumbers w:val="0"/>
              <w:jc w:val="center"/>
              <w:textAlignment w:val="center"/>
              <w:rPr>
                <w:rFonts w:ascii="Times New Roman" w:hAnsi="Times New Roman" w:eastAsia="华文中宋" w:cs="Times New Roman"/>
                <w:b/>
                <w:bCs/>
                <w:i w:val="0"/>
                <w:iCs w:val="0"/>
                <w:color w:val="000000"/>
                <w:sz w:val="40"/>
                <w:szCs w:val="40"/>
                <w:highlight w:val="none"/>
                <w:u w:val="none"/>
              </w:rPr>
            </w:pPr>
            <w:r>
              <w:rPr>
                <w:rFonts w:hint="default" w:ascii="Times New Roman" w:hAnsi="Times New Roman" w:eastAsia="华文中宋" w:cs="Times New Roman"/>
                <w:b/>
                <w:bCs/>
                <w:i w:val="0"/>
                <w:iCs w:val="0"/>
                <w:color w:val="000000"/>
                <w:kern w:val="0"/>
                <w:sz w:val="40"/>
                <w:szCs w:val="40"/>
                <w:highlight w:val="none"/>
                <w:u w:val="none"/>
                <w:lang w:val="en-US" w:eastAsia="zh-CN" w:bidi="ar"/>
              </w:rPr>
              <w:t>昆仑路街道办事处整体支出绩效自评表</w:t>
            </w:r>
          </w:p>
        </w:tc>
      </w:tr>
      <w:tr w14:paraId="5907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5000" w:type="pct"/>
            <w:gridSpan w:val="9"/>
            <w:tcBorders>
              <w:top w:val="nil"/>
              <w:left w:val="nil"/>
              <w:bottom w:val="nil"/>
              <w:right w:val="nil"/>
            </w:tcBorders>
            <w:noWrap w:val="0"/>
            <w:vAlign w:val="center"/>
          </w:tcPr>
          <w:p w14:paraId="7E5408A4">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4"/>
                <w:szCs w:val="24"/>
                <w:highlight w:val="none"/>
                <w:u w:val="none"/>
              </w:rPr>
            </w:pPr>
            <w:r>
              <w:rPr>
                <w:rFonts w:hint="default" w:ascii="Times New Roman" w:hAnsi="Times New Roman" w:eastAsia="宋体" w:cs="Times New Roman"/>
                <w:b/>
                <w:bCs/>
                <w:i w:val="0"/>
                <w:iCs w:val="0"/>
                <w:color w:val="000000"/>
                <w:kern w:val="0"/>
                <w:sz w:val="24"/>
                <w:szCs w:val="24"/>
                <w:highlight w:val="none"/>
                <w:u w:val="none"/>
                <w:lang w:val="en-US" w:eastAsia="zh-CN" w:bidi="ar"/>
              </w:rPr>
              <w:t>（  2024  年度）</w:t>
            </w:r>
          </w:p>
        </w:tc>
      </w:tr>
      <w:tr w14:paraId="28F01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tcBorders>
              <w:top w:val="single" w:color="000000" w:sz="4" w:space="0"/>
              <w:left w:val="single" w:color="000000" w:sz="4" w:space="0"/>
              <w:bottom w:val="single" w:color="000000" w:sz="4" w:space="0"/>
              <w:right w:val="single" w:color="000000" w:sz="4" w:space="0"/>
            </w:tcBorders>
            <w:noWrap w:val="0"/>
            <w:vAlign w:val="center"/>
          </w:tcPr>
          <w:p w14:paraId="7F90551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部门（单位）名称（盖章）</w:t>
            </w:r>
          </w:p>
        </w:tc>
        <w:tc>
          <w:tcPr>
            <w:tcW w:w="3924" w:type="pct"/>
            <w:gridSpan w:val="7"/>
            <w:tcBorders>
              <w:top w:val="single" w:color="000000" w:sz="4" w:space="0"/>
              <w:left w:val="single" w:color="000000" w:sz="4" w:space="0"/>
              <w:bottom w:val="single" w:color="000000" w:sz="4" w:space="0"/>
              <w:right w:val="single" w:color="000000" w:sz="4" w:space="0"/>
            </w:tcBorders>
            <w:noWrap w:val="0"/>
            <w:vAlign w:val="center"/>
          </w:tcPr>
          <w:p w14:paraId="25EA6B8A">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sz w:val="20"/>
                <w:szCs w:val="20"/>
                <w:highlight w:val="none"/>
                <w:u w:val="none"/>
                <w:lang w:eastAsia="zh-CN"/>
              </w:rPr>
              <w:t>克拉玛依市克拉玛依区人民政府</w:t>
            </w:r>
            <w:r>
              <w:rPr>
                <w:rFonts w:hint="default" w:ascii="Times New Roman" w:hAnsi="Times New Roman" w:eastAsia="宋体" w:cs="Times New Roman"/>
                <w:i w:val="0"/>
                <w:iCs w:val="0"/>
                <w:color w:val="000000"/>
                <w:sz w:val="20"/>
                <w:szCs w:val="20"/>
                <w:highlight w:val="none"/>
                <w:u w:val="none"/>
              </w:rPr>
              <w:t>昆仑路街道办事处</w:t>
            </w:r>
          </w:p>
        </w:tc>
      </w:tr>
      <w:tr w14:paraId="0889E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restart"/>
            <w:tcBorders>
              <w:top w:val="single" w:color="000000" w:sz="4" w:space="0"/>
              <w:left w:val="single" w:color="000000" w:sz="4" w:space="0"/>
              <w:bottom w:val="nil"/>
              <w:right w:val="single" w:color="000000" w:sz="4" w:space="0"/>
            </w:tcBorders>
            <w:noWrap w:val="0"/>
            <w:vAlign w:val="center"/>
          </w:tcPr>
          <w:p w14:paraId="06EB0C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部门资金（万元）</w:t>
            </w:r>
          </w:p>
        </w:tc>
        <w:tc>
          <w:tcPr>
            <w:tcW w:w="704" w:type="pct"/>
            <w:tcBorders>
              <w:top w:val="single" w:color="000000" w:sz="4" w:space="0"/>
              <w:left w:val="single" w:color="000000" w:sz="4" w:space="0"/>
              <w:bottom w:val="nil"/>
              <w:right w:val="single" w:color="000000" w:sz="4" w:space="0"/>
            </w:tcBorders>
            <w:noWrap w:val="0"/>
            <w:vAlign w:val="center"/>
          </w:tcPr>
          <w:p w14:paraId="18D3C98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资金来源</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02B3330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年初预算数</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1B407A9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全年预算数</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602D3B4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全年执行数</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0FEE96C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分值权重</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339F0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执行率</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20AC63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得分</w:t>
            </w:r>
          </w:p>
        </w:tc>
      </w:tr>
      <w:tr w14:paraId="41F7C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continue"/>
            <w:tcBorders>
              <w:top w:val="single" w:color="000000" w:sz="4" w:space="0"/>
              <w:left w:val="single" w:color="000000" w:sz="4" w:space="0"/>
              <w:bottom w:val="nil"/>
              <w:right w:val="single" w:color="000000" w:sz="4" w:space="0"/>
            </w:tcBorders>
            <w:noWrap w:val="0"/>
            <w:vAlign w:val="center"/>
          </w:tcPr>
          <w:p w14:paraId="7F965B22">
            <w:pPr>
              <w:jc w:val="center"/>
              <w:rPr>
                <w:rFonts w:hint="default" w:ascii="Times New Roman" w:hAnsi="Times New Roman" w:eastAsia="宋体" w:cs="Times New Roman"/>
                <w:i w:val="0"/>
                <w:iCs w:val="0"/>
                <w:color w:val="000000"/>
                <w:sz w:val="20"/>
                <w:szCs w:val="20"/>
                <w:highlight w:val="none"/>
                <w:u w:val="none"/>
              </w:rPr>
            </w:pPr>
          </w:p>
        </w:tc>
        <w:tc>
          <w:tcPr>
            <w:tcW w:w="704" w:type="pct"/>
            <w:tcBorders>
              <w:top w:val="single" w:color="000000" w:sz="4" w:space="0"/>
              <w:left w:val="single" w:color="000000" w:sz="4" w:space="0"/>
              <w:bottom w:val="nil"/>
              <w:right w:val="single" w:color="000000" w:sz="4" w:space="0"/>
            </w:tcBorders>
            <w:noWrap w:val="0"/>
            <w:vAlign w:val="center"/>
          </w:tcPr>
          <w:p w14:paraId="1B3B0041">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年度总资金</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2E8A10E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7218.63</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3FEA187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8235.97</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768745A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8235.97</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7786D4F0">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10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78580B6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100%</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2B8D6C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10</w:t>
            </w:r>
          </w:p>
        </w:tc>
      </w:tr>
      <w:tr w14:paraId="270EE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continue"/>
            <w:tcBorders>
              <w:top w:val="single" w:color="000000" w:sz="4" w:space="0"/>
              <w:left w:val="single" w:color="000000" w:sz="4" w:space="0"/>
              <w:bottom w:val="nil"/>
              <w:right w:val="single" w:color="000000" w:sz="4" w:space="0"/>
            </w:tcBorders>
            <w:noWrap w:val="0"/>
            <w:vAlign w:val="center"/>
          </w:tcPr>
          <w:p w14:paraId="4735766A">
            <w:pPr>
              <w:jc w:val="center"/>
              <w:rPr>
                <w:rFonts w:hint="default" w:ascii="Times New Roman" w:hAnsi="Times New Roman" w:eastAsia="宋体" w:cs="Times New Roman"/>
                <w:i w:val="0"/>
                <w:iCs w:val="0"/>
                <w:color w:val="000000"/>
                <w:sz w:val="20"/>
                <w:szCs w:val="20"/>
                <w:highlight w:val="none"/>
                <w:u w:val="none"/>
              </w:rPr>
            </w:pP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746E544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其中：上级安排（万元）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7562F4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0</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309ED66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865.65</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1ED3879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sz w:val="20"/>
                <w:szCs w:val="20"/>
                <w:highlight w:val="none"/>
                <w:u w:val="none"/>
                <w:lang w:val="en-US" w:eastAsia="zh-CN"/>
              </w:rPr>
              <w:t>865.65</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17BF4D5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209B25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6F1CC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r>
      <w:tr w14:paraId="10272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continue"/>
            <w:tcBorders>
              <w:top w:val="single" w:color="000000" w:sz="4" w:space="0"/>
              <w:left w:val="single" w:color="000000" w:sz="4" w:space="0"/>
              <w:bottom w:val="nil"/>
              <w:right w:val="single" w:color="000000" w:sz="4" w:space="0"/>
            </w:tcBorders>
            <w:noWrap w:val="0"/>
            <w:vAlign w:val="center"/>
          </w:tcPr>
          <w:p w14:paraId="738B57DA">
            <w:pPr>
              <w:jc w:val="center"/>
              <w:rPr>
                <w:rFonts w:hint="default" w:ascii="Times New Roman" w:hAnsi="Times New Roman" w:eastAsia="宋体" w:cs="Times New Roman"/>
                <w:i w:val="0"/>
                <w:iCs w:val="0"/>
                <w:color w:val="000000"/>
                <w:sz w:val="20"/>
                <w:szCs w:val="20"/>
                <w:highlight w:val="none"/>
                <w:u w:val="none"/>
              </w:rPr>
            </w:pP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4CCFBE0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本级安排（万元）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6D1E43A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7050.52</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07F4003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7203.87</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6ACC65F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sz w:val="20"/>
                <w:szCs w:val="20"/>
                <w:highlight w:val="none"/>
                <w:u w:val="none"/>
                <w:lang w:val="en-US" w:eastAsia="zh-CN"/>
              </w:rPr>
              <w:t>7203.87</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6199356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ABA9C1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046872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r>
      <w:tr w14:paraId="2AB96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continue"/>
            <w:tcBorders>
              <w:top w:val="single" w:color="000000" w:sz="4" w:space="0"/>
              <w:left w:val="single" w:color="000000" w:sz="4" w:space="0"/>
              <w:bottom w:val="nil"/>
              <w:right w:val="single" w:color="000000" w:sz="4" w:space="0"/>
            </w:tcBorders>
            <w:noWrap w:val="0"/>
            <w:vAlign w:val="center"/>
          </w:tcPr>
          <w:p w14:paraId="595B7288">
            <w:pPr>
              <w:jc w:val="center"/>
              <w:rPr>
                <w:rFonts w:hint="default" w:ascii="Times New Roman" w:hAnsi="Times New Roman" w:eastAsia="宋体" w:cs="Times New Roman"/>
                <w:i w:val="0"/>
                <w:iCs w:val="0"/>
                <w:color w:val="000000"/>
                <w:sz w:val="20"/>
                <w:szCs w:val="20"/>
                <w:highlight w:val="none"/>
                <w:u w:val="none"/>
              </w:rPr>
            </w:pPr>
          </w:p>
        </w:tc>
        <w:tc>
          <w:tcPr>
            <w:tcW w:w="704" w:type="pct"/>
            <w:tcBorders>
              <w:top w:val="single" w:color="000000" w:sz="4" w:space="0"/>
              <w:left w:val="single" w:color="000000" w:sz="4" w:space="0"/>
              <w:bottom w:val="single" w:color="000000" w:sz="4" w:space="0"/>
              <w:right w:val="single" w:color="000000" w:sz="4" w:space="0"/>
            </w:tcBorders>
            <w:noWrap w:val="0"/>
            <w:vAlign w:val="center"/>
          </w:tcPr>
          <w:p w14:paraId="478A5B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其他资金（万元）</w:t>
            </w:r>
          </w:p>
        </w:tc>
        <w:tc>
          <w:tcPr>
            <w:tcW w:w="538" w:type="pct"/>
            <w:tcBorders>
              <w:top w:val="single" w:color="000000" w:sz="4" w:space="0"/>
              <w:left w:val="single" w:color="000000" w:sz="4" w:space="0"/>
              <w:bottom w:val="single" w:color="000000" w:sz="4" w:space="0"/>
              <w:right w:val="single" w:color="000000" w:sz="4" w:space="0"/>
            </w:tcBorders>
            <w:noWrap w:val="0"/>
            <w:vAlign w:val="center"/>
          </w:tcPr>
          <w:p w14:paraId="01ABBDFF">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168.11</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672A74A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cs="Times New Roman"/>
                <w:i w:val="0"/>
                <w:iCs w:val="0"/>
                <w:color w:val="000000"/>
                <w:sz w:val="20"/>
                <w:szCs w:val="20"/>
                <w:highlight w:val="none"/>
                <w:u w:val="none"/>
                <w:lang w:val="en-US" w:eastAsia="zh-CN"/>
              </w:rPr>
              <w:t>166.46</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7ADA1D7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cs="Times New Roman"/>
                <w:i w:val="0"/>
                <w:iCs w:val="0"/>
                <w:color w:val="000000"/>
                <w:sz w:val="20"/>
                <w:szCs w:val="20"/>
                <w:highlight w:val="none"/>
                <w:u w:val="none"/>
                <w:lang w:val="en-US" w:eastAsia="zh-CN"/>
              </w:rPr>
              <w:t>166.46</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43E73F1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04C243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97BA4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highlight w:val="none"/>
                <w:u w:val="none"/>
              </w:rPr>
            </w:pPr>
          </w:p>
        </w:tc>
      </w:tr>
      <w:tr w14:paraId="5937A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8E0FE6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年度总目标</w:t>
            </w:r>
          </w:p>
        </w:tc>
        <w:tc>
          <w:tcPr>
            <w:tcW w:w="1983" w:type="pct"/>
            <w:gridSpan w:val="3"/>
            <w:tcBorders>
              <w:top w:val="single" w:color="000000" w:sz="4" w:space="0"/>
              <w:left w:val="single" w:color="000000" w:sz="4" w:space="0"/>
              <w:bottom w:val="single" w:color="000000" w:sz="4" w:space="0"/>
              <w:right w:val="single" w:color="000000" w:sz="4" w:space="0"/>
            </w:tcBorders>
            <w:noWrap w:val="0"/>
            <w:vAlign w:val="center"/>
          </w:tcPr>
          <w:p w14:paraId="0D95356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预期目标</w:t>
            </w:r>
          </w:p>
        </w:tc>
        <w:tc>
          <w:tcPr>
            <w:tcW w:w="1941" w:type="pct"/>
            <w:gridSpan w:val="4"/>
            <w:tcBorders>
              <w:top w:val="single" w:color="000000" w:sz="4" w:space="0"/>
              <w:left w:val="single" w:color="000000" w:sz="4" w:space="0"/>
              <w:bottom w:val="single" w:color="000000" w:sz="4" w:space="0"/>
              <w:right w:val="single" w:color="000000" w:sz="4" w:space="0"/>
            </w:tcBorders>
            <w:noWrap w:val="0"/>
            <w:vAlign w:val="center"/>
          </w:tcPr>
          <w:p w14:paraId="7A85CA37">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实际完成情况</w:t>
            </w:r>
          </w:p>
        </w:tc>
      </w:tr>
      <w:tr w14:paraId="092AD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1075"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2F0915B">
            <w:pPr>
              <w:jc w:val="center"/>
              <w:rPr>
                <w:rFonts w:hint="default" w:ascii="Times New Roman" w:hAnsi="Times New Roman" w:eastAsia="宋体" w:cs="Times New Roman"/>
                <w:i w:val="0"/>
                <w:iCs w:val="0"/>
                <w:color w:val="000000"/>
                <w:sz w:val="20"/>
                <w:szCs w:val="20"/>
                <w:highlight w:val="none"/>
                <w:u w:val="none"/>
              </w:rPr>
            </w:pPr>
          </w:p>
        </w:tc>
        <w:tc>
          <w:tcPr>
            <w:tcW w:w="1983" w:type="pct"/>
            <w:gridSpan w:val="3"/>
            <w:tcBorders>
              <w:top w:val="single" w:color="000000" w:sz="4" w:space="0"/>
              <w:left w:val="single" w:color="000000" w:sz="4" w:space="0"/>
              <w:bottom w:val="single" w:color="000000" w:sz="4" w:space="0"/>
              <w:right w:val="single" w:color="000000" w:sz="4" w:space="0"/>
            </w:tcBorders>
            <w:noWrap w:val="0"/>
            <w:vAlign w:val="center"/>
          </w:tcPr>
          <w:p w14:paraId="7838F53A">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2024年昆仑路街道将实施并完成上级部门布置的各项任务，明确战略任务和奋斗目标，坚持稳中求进，坚持实干争先，围绕加强党的建设，实施综合管理，组织公共服务，加强公共安全，统筹社区发展，动员社会参与等方面开展工作，确保街道各项工作目标任务圆满完成。</w:t>
            </w:r>
          </w:p>
          <w:p w14:paraId="5096D18E">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（一）突出党建引领，全力开展好党建各项工作；</w:t>
            </w:r>
          </w:p>
          <w:p w14:paraId="3F9AE6F2">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（二）突出平安稳定，增强社会和谐。</w:t>
            </w:r>
          </w:p>
          <w:p w14:paraId="15D9794B">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（三）突出富民惠民，不断提升群众幸福感。</w:t>
            </w:r>
          </w:p>
          <w:p w14:paraId="211F2698">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（四）突出民生保障，拓宽社会保障覆盖面。</w:t>
            </w:r>
          </w:p>
        </w:tc>
        <w:tc>
          <w:tcPr>
            <w:tcW w:w="1941" w:type="pct"/>
            <w:gridSpan w:val="4"/>
            <w:tcBorders>
              <w:top w:val="single" w:color="000000" w:sz="4" w:space="0"/>
              <w:left w:val="single" w:color="000000" w:sz="4" w:space="0"/>
              <w:bottom w:val="single" w:color="000000" w:sz="4" w:space="0"/>
              <w:right w:val="single" w:color="000000" w:sz="4" w:space="0"/>
            </w:tcBorders>
            <w:noWrap w:val="0"/>
            <w:vAlign w:val="center"/>
          </w:tcPr>
          <w:p w14:paraId="4CE434DB">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2024年昆仑路街道将实施并完成上级部门布置的各项任务，明确战略任务和奋斗目标，坚持稳中求进，坚持实干争先，围绕加强党的建设，实施综合管理，组织公共服务，加强公共安全，统筹社区发展，动员社会参与等方面开展工作，确保街道各项工作目标任务圆满完成。</w:t>
            </w:r>
          </w:p>
          <w:p w14:paraId="04797714">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（一）突出党建引领，全力开展好党建各项工作；</w:t>
            </w:r>
          </w:p>
          <w:p w14:paraId="06ED3C44">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（二）突出平安稳定，增强社会和谐。</w:t>
            </w:r>
          </w:p>
          <w:p w14:paraId="4B3779ED">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（三）突出富民惠民，不断提升群众幸福感。</w:t>
            </w:r>
          </w:p>
          <w:p w14:paraId="5FFC2E8A">
            <w:pPr>
              <w:keepNext w:val="0"/>
              <w:keepLines w:val="0"/>
              <w:widowControl/>
              <w:suppressLineNumbers w:val="0"/>
              <w:jc w:val="both"/>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（四）突出民生保障，拓宽社会保障覆盖面。</w:t>
            </w:r>
          </w:p>
        </w:tc>
      </w:tr>
      <w:tr w14:paraId="7D366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tcBorders>
              <w:top w:val="single" w:color="000000" w:sz="4" w:space="0"/>
              <w:left w:val="single" w:color="000000" w:sz="4" w:space="0"/>
              <w:bottom w:val="single" w:color="000000" w:sz="4" w:space="0"/>
              <w:right w:val="single" w:color="000000" w:sz="4" w:space="0"/>
            </w:tcBorders>
            <w:noWrap w:val="0"/>
            <w:vAlign w:val="center"/>
          </w:tcPr>
          <w:p w14:paraId="5DAE33CE">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一级指标</w:t>
            </w:r>
          </w:p>
        </w:tc>
        <w:tc>
          <w:tcPr>
            <w:tcW w:w="668" w:type="pct"/>
            <w:tcBorders>
              <w:top w:val="single" w:color="000000" w:sz="4" w:space="0"/>
              <w:left w:val="single" w:color="000000" w:sz="4" w:space="0"/>
              <w:bottom w:val="single" w:color="000000" w:sz="4" w:space="0"/>
              <w:right w:val="single" w:color="000000" w:sz="4" w:space="0"/>
            </w:tcBorders>
            <w:noWrap w:val="0"/>
            <w:vAlign w:val="center"/>
          </w:tcPr>
          <w:p w14:paraId="57A2B04B">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二级指标</w:t>
            </w:r>
          </w:p>
        </w:tc>
        <w:tc>
          <w:tcPr>
            <w:tcW w:w="1242" w:type="pct"/>
            <w:gridSpan w:val="2"/>
            <w:tcBorders>
              <w:top w:val="nil"/>
              <w:left w:val="single" w:color="000000" w:sz="4" w:space="0"/>
              <w:bottom w:val="single" w:color="000000" w:sz="4" w:space="0"/>
              <w:right w:val="single" w:color="000000" w:sz="4" w:space="0"/>
            </w:tcBorders>
            <w:noWrap w:val="0"/>
            <w:vAlign w:val="center"/>
          </w:tcPr>
          <w:p w14:paraId="168A5ADC">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三级指标</w:t>
            </w:r>
          </w:p>
        </w:tc>
        <w:tc>
          <w:tcPr>
            <w:tcW w:w="741" w:type="pct"/>
            <w:tcBorders>
              <w:top w:val="nil"/>
              <w:left w:val="single" w:color="000000" w:sz="4" w:space="0"/>
              <w:bottom w:val="single" w:color="000000" w:sz="4" w:space="0"/>
              <w:right w:val="single" w:color="000000" w:sz="4" w:space="0"/>
            </w:tcBorders>
            <w:noWrap w:val="0"/>
            <w:vAlign w:val="center"/>
          </w:tcPr>
          <w:p w14:paraId="2FE6E348">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指标值</w:t>
            </w:r>
          </w:p>
        </w:tc>
        <w:tc>
          <w:tcPr>
            <w:tcW w:w="586" w:type="pct"/>
            <w:tcBorders>
              <w:top w:val="nil"/>
              <w:left w:val="single" w:color="000000" w:sz="4" w:space="0"/>
              <w:bottom w:val="single" w:color="000000" w:sz="4" w:space="0"/>
              <w:right w:val="single" w:color="000000" w:sz="4" w:space="0"/>
            </w:tcBorders>
            <w:noWrap w:val="0"/>
            <w:vAlign w:val="center"/>
          </w:tcPr>
          <w:p w14:paraId="49AB5105">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指标设定依据</w:t>
            </w:r>
          </w:p>
        </w:tc>
        <w:tc>
          <w:tcPr>
            <w:tcW w:w="586" w:type="pct"/>
            <w:tcBorders>
              <w:top w:val="nil"/>
              <w:left w:val="single" w:color="000000" w:sz="4" w:space="0"/>
              <w:bottom w:val="single" w:color="000000" w:sz="4" w:space="0"/>
              <w:right w:val="single" w:color="000000" w:sz="4" w:space="0"/>
            </w:tcBorders>
            <w:noWrap w:val="0"/>
            <w:vAlign w:val="center"/>
          </w:tcPr>
          <w:p w14:paraId="6E0D1CB2">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分值权重</w:t>
            </w:r>
          </w:p>
        </w:tc>
        <w:tc>
          <w:tcPr>
            <w:tcW w:w="407" w:type="pct"/>
            <w:tcBorders>
              <w:top w:val="nil"/>
              <w:left w:val="single" w:color="000000" w:sz="4" w:space="0"/>
              <w:bottom w:val="single" w:color="000000" w:sz="4" w:space="0"/>
              <w:right w:val="single" w:color="000000" w:sz="4" w:space="0"/>
            </w:tcBorders>
            <w:noWrap w:val="0"/>
            <w:vAlign w:val="center"/>
          </w:tcPr>
          <w:p w14:paraId="38A35BA9">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实际完成值</w:t>
            </w:r>
          </w:p>
        </w:tc>
        <w:tc>
          <w:tcPr>
            <w:tcW w:w="362" w:type="pct"/>
            <w:tcBorders>
              <w:top w:val="nil"/>
              <w:left w:val="single" w:color="000000" w:sz="4" w:space="0"/>
              <w:bottom w:val="single" w:color="000000" w:sz="4" w:space="0"/>
              <w:right w:val="single" w:color="000000" w:sz="4" w:space="0"/>
            </w:tcBorders>
            <w:noWrap w:val="0"/>
            <w:vAlign w:val="center"/>
          </w:tcPr>
          <w:p w14:paraId="350D525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得分</w:t>
            </w:r>
          </w:p>
        </w:tc>
      </w:tr>
      <w:tr w14:paraId="6044F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vMerge w:val="restart"/>
            <w:tcBorders>
              <w:top w:val="single" w:color="000000" w:sz="4" w:space="0"/>
              <w:left w:val="single" w:color="000000" w:sz="4" w:space="0"/>
              <w:bottom w:val="single" w:color="000000" w:sz="4" w:space="0"/>
              <w:right w:val="single" w:color="000000" w:sz="4" w:space="0"/>
            </w:tcBorders>
            <w:noWrap w:val="0"/>
            <w:vAlign w:val="center"/>
          </w:tcPr>
          <w:p w14:paraId="47DDD456">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履职效能</w:t>
            </w:r>
          </w:p>
        </w:tc>
        <w:tc>
          <w:tcPr>
            <w:tcW w:w="668" w:type="pct"/>
            <w:tcBorders>
              <w:top w:val="single" w:color="000000" w:sz="4" w:space="0"/>
              <w:left w:val="single" w:color="000000" w:sz="4" w:space="0"/>
              <w:bottom w:val="single" w:color="000000" w:sz="4" w:space="0"/>
              <w:right w:val="single" w:color="000000" w:sz="4" w:space="0"/>
            </w:tcBorders>
            <w:noWrap w:val="0"/>
            <w:vAlign w:val="center"/>
          </w:tcPr>
          <w:p w14:paraId="1A1FBE06">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数量指标</w:t>
            </w:r>
          </w:p>
        </w:tc>
        <w:tc>
          <w:tcPr>
            <w:tcW w:w="1242" w:type="pct"/>
            <w:gridSpan w:val="2"/>
            <w:tcBorders>
              <w:top w:val="single" w:color="000000" w:sz="4" w:space="0"/>
              <w:left w:val="single" w:color="000000" w:sz="4" w:space="0"/>
              <w:bottom w:val="single" w:color="000000" w:sz="4" w:space="0"/>
              <w:right w:val="single" w:color="000000" w:sz="4" w:space="0"/>
            </w:tcBorders>
            <w:noWrap w:val="0"/>
            <w:vAlign w:val="center"/>
          </w:tcPr>
          <w:p w14:paraId="41C300FA">
            <w:pPr>
              <w:keepNext w:val="0"/>
              <w:keepLines w:val="0"/>
              <w:widowControl/>
              <w:suppressLineNumbers w:val="0"/>
              <w:jc w:val="left"/>
              <w:textAlignment w:val="center"/>
              <w:rPr>
                <w:rFonts w:hint="default" w:ascii="Times New Roman" w:hAnsi="Times New Roman" w:eastAsia="宋体" w:cs="Times New Roman"/>
                <w:i w:val="0"/>
                <w:iCs w:val="0"/>
                <w:color w:val="000000"/>
                <w:sz w:val="24"/>
                <w:szCs w:val="24"/>
                <w:highlight w:val="none"/>
                <w:u w:val="none"/>
              </w:rPr>
            </w:pPr>
            <w:r>
              <w:rPr>
                <w:rFonts w:hint="default" w:ascii="Times New Roman" w:hAnsi="Times New Roman" w:eastAsia="宋体" w:cs="Times New Roman"/>
                <w:i w:val="0"/>
                <w:iCs w:val="0"/>
                <w:color w:val="000000"/>
                <w:sz w:val="20"/>
                <w:szCs w:val="20"/>
                <w:highlight w:val="none"/>
                <w:u w:val="none"/>
              </w:rPr>
              <w:t>每年开展征兵工作</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3046E939">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=2次</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5F7D37B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征兵公告</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7034FD5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30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044C86D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2次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19814240">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val="en-US" w:eastAsia="zh-CN"/>
              </w:rPr>
              <w:t>30</w:t>
            </w:r>
          </w:p>
        </w:tc>
      </w:tr>
      <w:tr w14:paraId="61874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191BE195">
            <w:pPr>
              <w:jc w:val="center"/>
              <w:rPr>
                <w:rFonts w:hint="default" w:ascii="Times New Roman" w:hAnsi="Times New Roman" w:eastAsia="宋体" w:cs="Times New Roman"/>
                <w:i w:val="0"/>
                <w:iCs w:val="0"/>
                <w:color w:val="000000"/>
                <w:sz w:val="20"/>
                <w:szCs w:val="20"/>
                <w:highlight w:val="none"/>
                <w:u w:val="none"/>
              </w:rPr>
            </w:pPr>
          </w:p>
        </w:tc>
        <w:tc>
          <w:tcPr>
            <w:tcW w:w="668" w:type="pct"/>
            <w:tcBorders>
              <w:top w:val="single" w:color="000000" w:sz="4" w:space="0"/>
              <w:left w:val="single" w:color="000000" w:sz="4" w:space="0"/>
              <w:bottom w:val="single" w:color="000000" w:sz="4" w:space="0"/>
              <w:right w:val="single" w:color="000000" w:sz="4" w:space="0"/>
            </w:tcBorders>
            <w:noWrap w:val="0"/>
            <w:vAlign w:val="center"/>
          </w:tcPr>
          <w:p w14:paraId="5F5E9CC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数量指标</w:t>
            </w:r>
          </w:p>
        </w:tc>
        <w:tc>
          <w:tcPr>
            <w:tcW w:w="1242" w:type="pct"/>
            <w:gridSpan w:val="2"/>
            <w:tcBorders>
              <w:top w:val="single" w:color="000000" w:sz="4" w:space="0"/>
              <w:left w:val="single" w:color="000000" w:sz="4" w:space="0"/>
              <w:bottom w:val="single" w:color="000000" w:sz="4" w:space="0"/>
              <w:right w:val="single" w:color="000000" w:sz="4" w:space="0"/>
            </w:tcBorders>
            <w:noWrap w:val="0"/>
            <w:vAlign w:val="center"/>
          </w:tcPr>
          <w:p w14:paraId="31859B2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特扶家庭走访慰问次数</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599171CE">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&gt;=10次</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0D92BD9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基层计划妇幼生育考核细则</w:t>
            </w:r>
            <w:r>
              <w:rPr>
                <w:rFonts w:hint="default" w:ascii="Times New Roman" w:hAnsi="Times New Roman" w:eastAsia="宋体" w:cs="Times New Roman"/>
                <w:i w:val="0"/>
                <w:iCs w:val="0"/>
                <w:color w:val="000000"/>
                <w:sz w:val="20"/>
                <w:szCs w:val="20"/>
                <w:highlight w:val="none"/>
                <w:u w:val="none"/>
              </w:rPr>
              <w:tab/>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2939365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43ABE044">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10次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36F2D971">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val="en-US" w:eastAsia="zh-CN"/>
              </w:rPr>
              <w:t>20</w:t>
            </w:r>
          </w:p>
        </w:tc>
      </w:tr>
      <w:tr w14:paraId="09789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3C13E1A9">
            <w:pPr>
              <w:jc w:val="center"/>
              <w:rPr>
                <w:rFonts w:hint="default" w:ascii="Times New Roman" w:hAnsi="Times New Roman" w:eastAsia="宋体" w:cs="Times New Roman"/>
                <w:i w:val="0"/>
                <w:iCs w:val="0"/>
                <w:color w:val="000000"/>
                <w:sz w:val="20"/>
                <w:szCs w:val="20"/>
                <w:highlight w:val="none"/>
                <w:u w:val="none"/>
              </w:rPr>
            </w:pPr>
          </w:p>
        </w:tc>
        <w:tc>
          <w:tcPr>
            <w:tcW w:w="668" w:type="pct"/>
            <w:tcBorders>
              <w:top w:val="single" w:color="000000" w:sz="4" w:space="0"/>
              <w:left w:val="single" w:color="000000" w:sz="4" w:space="0"/>
              <w:bottom w:val="single" w:color="000000" w:sz="4" w:space="0"/>
              <w:right w:val="single" w:color="000000" w:sz="4" w:space="0"/>
            </w:tcBorders>
            <w:noWrap w:val="0"/>
            <w:vAlign w:val="center"/>
          </w:tcPr>
          <w:p w14:paraId="14D4E9F5">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数量指标</w:t>
            </w:r>
          </w:p>
        </w:tc>
        <w:tc>
          <w:tcPr>
            <w:tcW w:w="1242" w:type="pct"/>
            <w:gridSpan w:val="2"/>
            <w:tcBorders>
              <w:top w:val="single" w:color="000000" w:sz="4" w:space="0"/>
              <w:left w:val="single" w:color="000000" w:sz="4" w:space="0"/>
              <w:bottom w:val="single" w:color="000000" w:sz="4" w:space="0"/>
              <w:right w:val="single" w:color="000000" w:sz="4" w:space="0"/>
            </w:tcBorders>
            <w:noWrap w:val="0"/>
            <w:vAlign w:val="center"/>
          </w:tcPr>
          <w:p w14:paraId="3391C1B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开展普法活动</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0577F7F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&gt;=4次</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22C974ED">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区总工会工作考核指标</w:t>
            </w:r>
            <w:r>
              <w:rPr>
                <w:rFonts w:hint="default" w:ascii="Times New Roman" w:hAnsi="Times New Roman" w:eastAsia="宋体" w:cs="Times New Roman"/>
                <w:i w:val="0"/>
                <w:iCs w:val="0"/>
                <w:color w:val="000000"/>
                <w:sz w:val="20"/>
                <w:szCs w:val="20"/>
                <w:highlight w:val="none"/>
                <w:u w:val="none"/>
              </w:rPr>
              <w:tab/>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76BE2E6C">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615BA66D">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60519DA4">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val="en-US" w:eastAsia="zh-CN"/>
              </w:rPr>
              <w:t>20</w:t>
            </w:r>
          </w:p>
        </w:tc>
      </w:tr>
      <w:tr w14:paraId="02168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407" w:type="pct"/>
            <w:vMerge w:val="continue"/>
            <w:tcBorders>
              <w:top w:val="single" w:color="000000" w:sz="4" w:space="0"/>
              <w:left w:val="single" w:color="000000" w:sz="4" w:space="0"/>
              <w:bottom w:val="single" w:color="000000" w:sz="4" w:space="0"/>
              <w:right w:val="single" w:color="000000" w:sz="4" w:space="0"/>
            </w:tcBorders>
            <w:noWrap w:val="0"/>
            <w:vAlign w:val="center"/>
          </w:tcPr>
          <w:p w14:paraId="0B7FB825">
            <w:pPr>
              <w:jc w:val="center"/>
              <w:rPr>
                <w:rFonts w:hint="default" w:ascii="Times New Roman" w:hAnsi="Times New Roman" w:eastAsia="宋体" w:cs="Times New Roman"/>
                <w:i w:val="0"/>
                <w:iCs w:val="0"/>
                <w:color w:val="000000"/>
                <w:sz w:val="20"/>
                <w:szCs w:val="20"/>
                <w:highlight w:val="none"/>
                <w:u w:val="none"/>
              </w:rPr>
            </w:pPr>
          </w:p>
        </w:tc>
        <w:tc>
          <w:tcPr>
            <w:tcW w:w="668" w:type="pct"/>
            <w:tcBorders>
              <w:top w:val="single" w:color="000000" w:sz="4" w:space="0"/>
              <w:left w:val="single" w:color="000000" w:sz="4" w:space="0"/>
              <w:bottom w:val="single" w:color="000000" w:sz="4" w:space="0"/>
              <w:right w:val="single" w:color="000000" w:sz="4" w:space="0"/>
            </w:tcBorders>
            <w:noWrap w:val="0"/>
            <w:vAlign w:val="center"/>
          </w:tcPr>
          <w:p w14:paraId="0F814653">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kern w:val="0"/>
                <w:sz w:val="20"/>
                <w:szCs w:val="20"/>
                <w:highlight w:val="none"/>
                <w:u w:val="none"/>
                <w:lang w:val="en-US" w:eastAsia="zh-CN" w:bidi="ar"/>
              </w:rPr>
              <w:t>数量指标</w:t>
            </w:r>
          </w:p>
        </w:tc>
        <w:tc>
          <w:tcPr>
            <w:tcW w:w="1242" w:type="pct"/>
            <w:gridSpan w:val="2"/>
            <w:tcBorders>
              <w:top w:val="single" w:color="000000" w:sz="4" w:space="0"/>
              <w:left w:val="single" w:color="000000" w:sz="4" w:space="0"/>
              <w:bottom w:val="single" w:color="000000" w:sz="4" w:space="0"/>
              <w:right w:val="single" w:color="000000" w:sz="4" w:space="0"/>
            </w:tcBorders>
            <w:noWrap w:val="0"/>
            <w:vAlign w:val="center"/>
          </w:tcPr>
          <w:p w14:paraId="66726C71">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党员集中教育次数</w:t>
            </w:r>
          </w:p>
        </w:tc>
        <w:tc>
          <w:tcPr>
            <w:tcW w:w="741" w:type="pct"/>
            <w:tcBorders>
              <w:top w:val="single" w:color="000000" w:sz="4" w:space="0"/>
              <w:left w:val="single" w:color="000000" w:sz="4" w:space="0"/>
              <w:bottom w:val="single" w:color="000000" w:sz="4" w:space="0"/>
              <w:right w:val="single" w:color="000000" w:sz="4" w:space="0"/>
            </w:tcBorders>
            <w:noWrap w:val="0"/>
            <w:vAlign w:val="center"/>
          </w:tcPr>
          <w:p w14:paraId="002B9D2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&gt;=45次</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6A6926C2">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ab/>
            </w:r>
            <w:r>
              <w:rPr>
                <w:rFonts w:hint="default" w:ascii="Times New Roman" w:hAnsi="Times New Roman" w:eastAsia="宋体" w:cs="Times New Roman"/>
                <w:i w:val="0"/>
                <w:iCs w:val="0"/>
                <w:color w:val="000000"/>
                <w:sz w:val="20"/>
                <w:szCs w:val="20"/>
                <w:highlight w:val="none"/>
                <w:u w:val="none"/>
              </w:rPr>
              <w:t>202</w:t>
            </w:r>
            <w:r>
              <w:rPr>
                <w:rFonts w:hint="default" w:ascii="Times New Roman" w:hAnsi="Times New Roman" w:eastAsia="宋体" w:cs="Times New Roman"/>
                <w:i w:val="0"/>
                <w:iCs w:val="0"/>
                <w:color w:val="000000"/>
                <w:sz w:val="20"/>
                <w:szCs w:val="20"/>
                <w:highlight w:val="none"/>
                <w:u w:val="none"/>
                <w:lang w:val="en-US" w:eastAsia="zh-CN"/>
              </w:rPr>
              <w:t>3</w:t>
            </w:r>
            <w:r>
              <w:rPr>
                <w:rFonts w:hint="default" w:ascii="Times New Roman" w:hAnsi="Times New Roman" w:eastAsia="宋体" w:cs="Times New Roman"/>
                <w:i w:val="0"/>
                <w:iCs w:val="0"/>
                <w:color w:val="000000"/>
                <w:sz w:val="20"/>
                <w:szCs w:val="20"/>
                <w:highlight w:val="none"/>
                <w:u w:val="none"/>
              </w:rPr>
              <w:t>工作总结</w:t>
            </w:r>
          </w:p>
        </w:tc>
        <w:tc>
          <w:tcPr>
            <w:tcW w:w="586" w:type="pct"/>
            <w:tcBorders>
              <w:top w:val="single" w:color="000000" w:sz="4" w:space="0"/>
              <w:left w:val="single" w:color="000000" w:sz="4" w:space="0"/>
              <w:bottom w:val="single" w:color="000000" w:sz="4" w:space="0"/>
              <w:right w:val="single" w:color="000000" w:sz="4" w:space="0"/>
            </w:tcBorders>
            <w:noWrap w:val="0"/>
            <w:vAlign w:val="center"/>
          </w:tcPr>
          <w:p w14:paraId="5EBD25AF">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highlight w:val="none"/>
                <w:u w:val="none"/>
                <w:lang w:val="en-US" w:eastAsia="zh-CN"/>
              </w:rPr>
            </w:pPr>
            <w:r>
              <w:rPr>
                <w:rFonts w:hint="default" w:ascii="Times New Roman" w:hAnsi="Times New Roman" w:eastAsia="宋体" w:cs="Times New Roman"/>
                <w:i w:val="0"/>
                <w:iCs w:val="0"/>
                <w:color w:val="000000"/>
                <w:sz w:val="20"/>
                <w:szCs w:val="20"/>
                <w:highlight w:val="none"/>
                <w:u w:val="none"/>
                <w:lang w:val="en-US" w:eastAsia="zh-CN"/>
              </w:rPr>
              <w:t>20</w:t>
            </w:r>
          </w:p>
        </w:tc>
        <w:tc>
          <w:tcPr>
            <w:tcW w:w="407" w:type="pct"/>
            <w:tcBorders>
              <w:top w:val="single" w:color="000000" w:sz="4" w:space="0"/>
              <w:left w:val="single" w:color="000000" w:sz="4" w:space="0"/>
              <w:bottom w:val="single" w:color="000000" w:sz="4" w:space="0"/>
              <w:right w:val="single" w:color="000000" w:sz="4" w:space="0"/>
            </w:tcBorders>
            <w:noWrap w:val="0"/>
            <w:vAlign w:val="center"/>
          </w:tcPr>
          <w:p w14:paraId="54DDFE23">
            <w:pPr>
              <w:keepNext w:val="0"/>
              <w:keepLines w:val="0"/>
              <w:widowControl/>
              <w:suppressLineNumbers w:val="0"/>
              <w:jc w:val="center"/>
              <w:textAlignment w:val="center"/>
              <w:rPr>
                <w:rFonts w:hint="default" w:ascii="Times New Roman" w:hAnsi="Times New Roman" w:eastAsia="宋体" w:cs="Times New Roman"/>
                <w:i w:val="0"/>
                <w:iCs w:val="0"/>
                <w:color w:val="000000"/>
                <w:sz w:val="20"/>
                <w:szCs w:val="20"/>
                <w:highlight w:val="none"/>
                <w:u w:val="none"/>
              </w:rPr>
            </w:pPr>
            <w:r>
              <w:rPr>
                <w:rFonts w:hint="default" w:ascii="Times New Roman" w:hAnsi="Times New Roman" w:eastAsia="宋体" w:cs="Times New Roman"/>
                <w:i w:val="0"/>
                <w:iCs w:val="0"/>
                <w:color w:val="000000"/>
                <w:sz w:val="20"/>
                <w:szCs w:val="20"/>
                <w:highlight w:val="none"/>
                <w:u w:val="none"/>
              </w:rPr>
              <w:t>45次</w:t>
            </w:r>
          </w:p>
        </w:tc>
        <w:tc>
          <w:tcPr>
            <w:tcW w:w="362" w:type="pct"/>
            <w:tcBorders>
              <w:top w:val="single" w:color="000000" w:sz="4" w:space="0"/>
              <w:left w:val="single" w:color="000000" w:sz="4" w:space="0"/>
              <w:bottom w:val="single" w:color="000000" w:sz="4" w:space="0"/>
              <w:right w:val="single" w:color="000000" w:sz="4" w:space="0"/>
            </w:tcBorders>
            <w:noWrap w:val="0"/>
            <w:vAlign w:val="center"/>
          </w:tcPr>
          <w:p w14:paraId="5E9FD656">
            <w:pPr>
              <w:keepNext w:val="0"/>
              <w:keepLines w:val="0"/>
              <w:widowControl/>
              <w:suppressLineNumbers w:val="0"/>
              <w:jc w:val="right"/>
              <w:textAlignment w:val="center"/>
              <w:rPr>
                <w:rFonts w:hint="default" w:ascii="Times New Roman" w:hAnsi="Times New Roman" w:eastAsia="宋体" w:cs="Times New Roman"/>
                <w:i w:val="0"/>
                <w:iCs w:val="0"/>
                <w:color w:val="000000"/>
                <w:sz w:val="24"/>
                <w:szCs w:val="24"/>
                <w:highlight w:val="none"/>
                <w:u w:val="none"/>
                <w:lang w:val="en-US" w:eastAsia="zh-CN"/>
              </w:rPr>
            </w:pPr>
            <w:r>
              <w:rPr>
                <w:rFonts w:hint="default" w:ascii="Times New Roman" w:hAnsi="Times New Roman" w:cs="Times New Roman"/>
                <w:i w:val="0"/>
                <w:iCs w:val="0"/>
                <w:color w:val="000000"/>
                <w:sz w:val="24"/>
                <w:szCs w:val="24"/>
                <w:highlight w:val="none"/>
                <w:u w:val="none"/>
                <w:lang w:val="en-US" w:eastAsia="zh-CN"/>
              </w:rPr>
              <w:t>20</w:t>
            </w:r>
          </w:p>
        </w:tc>
      </w:tr>
    </w:tbl>
    <w:p w14:paraId="0A0C6021">
      <w:pPr>
        <w:rPr>
          <w:rFonts w:ascii="Times New Roman" w:hAnsi="Times New Roman" w:cs="Times New Roman"/>
          <w:highlight w:val="none"/>
        </w:rPr>
      </w:pPr>
    </w:p>
    <w:p w14:paraId="118AF038">
      <w:pPr>
        <w:keepNext w:val="0"/>
        <w:keepLines w:val="0"/>
        <w:pageBreakBefore w:val="0"/>
        <w:numPr>
          <w:ilvl w:val="0"/>
          <w:numId w:val="0"/>
        </w:numPr>
        <w:wordWrap/>
        <w:overflowPunct/>
        <w:bidi w:val="0"/>
        <w:ind w:left="0" w:leftChars="0" w:firstLine="0" w:firstLineChars="0"/>
        <w:jc w:val="both"/>
        <w:outlineLvl w:val="9"/>
        <w:rPr>
          <w:rFonts w:hint="default" w:ascii="Times New Roman" w:hAnsi="Times New Roman" w:eastAsia="宋体" w:cs="Times New Roman"/>
          <w:spacing w:val="8"/>
          <w:sz w:val="24"/>
          <w:szCs w:val="24"/>
          <w:highlight w:val="none"/>
          <w:lang w:val="en-US" w:eastAsia="zh-CN"/>
        </w:rPr>
      </w:pPr>
      <w:bookmarkStart w:id="468" w:name="_Toc19346"/>
      <w:r>
        <w:rPr>
          <w:rFonts w:hint="default" w:ascii="Times New Roman" w:hAnsi="Times New Roman" w:cs="Times New Roman"/>
          <w:highlight w:val="none"/>
          <w:lang w:val="en-US" w:eastAsia="zh-CN"/>
        </w:rPr>
        <w:br w:type="textWrapping"/>
      </w:r>
      <w:r>
        <w:rPr>
          <w:rFonts w:hint="default" w:ascii="Times New Roman" w:hAnsi="Times New Roman" w:cs="Times New Roman"/>
          <w:highlight w:val="none"/>
          <w:lang w:val="en-US" w:eastAsia="zh-CN"/>
        </w:rPr>
        <w:br w:type="textWrapping"/>
      </w:r>
      <w:r>
        <w:rPr>
          <w:rFonts w:hint="default" w:ascii="Times New Roman" w:hAnsi="Times New Roman" w:eastAsia="宋体" w:cs="Times New Roman"/>
          <w:spacing w:val="8"/>
          <w:sz w:val="24"/>
          <w:szCs w:val="24"/>
          <w:highlight w:val="none"/>
          <w:lang w:val="en-US" w:eastAsia="zh-CN"/>
        </w:rPr>
        <w:br w:type="textWrapping"/>
      </w:r>
      <w:bookmarkEnd w:id="468"/>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E385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21025">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CE21025">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DCB36">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42D45B">
                          <w:pPr>
                            <w:pStyle w:val="9"/>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042D45B">
                    <w:pPr>
                      <w:pStyle w:val="9"/>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B90C3">
    <w:pPr>
      <w:pStyle w:val="6"/>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5AC5C">
    <w:pPr>
      <w:pStyle w:val="6"/>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CB61DC">
    <w:pPr>
      <w:pStyle w:val="6"/>
      <w:spacing w:line="14" w:lineRule="auto"/>
      <w:rPr>
        <w:sz w:val="2"/>
      </w:rPr>
    </w:pPr>
  </w:p>
  <w:p w14:paraId="7D85D74B">
    <w:pPr>
      <w:pStyle w:val="6"/>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C6643A"/>
    <w:multiLevelType w:val="singleLevel"/>
    <w:tmpl w:val="A2C6643A"/>
    <w:lvl w:ilvl="0" w:tentative="0">
      <w:start w:val="9"/>
      <w:numFmt w:val="chineseCounting"/>
      <w:suff w:val="nothing"/>
      <w:lvlText w:val="%1、"/>
      <w:lvlJc w:val="left"/>
      <w:rPr>
        <w:rFonts w:hint="eastAsia"/>
      </w:rPr>
    </w:lvl>
  </w:abstractNum>
  <w:abstractNum w:abstractNumId="1">
    <w:nsid w:val="AA0351B5"/>
    <w:multiLevelType w:val="singleLevel"/>
    <w:tmpl w:val="AA0351B5"/>
    <w:lvl w:ilvl="0" w:tentative="0">
      <w:start w:val="6"/>
      <w:numFmt w:val="chineseCounting"/>
      <w:suff w:val="nothing"/>
      <w:lvlText w:val="%1、"/>
      <w:lvlJc w:val="left"/>
      <w:rPr>
        <w:rFonts w:hint="eastAsia"/>
      </w:rPr>
    </w:lvl>
  </w:abstractNum>
  <w:abstractNum w:abstractNumId="2">
    <w:nsid w:val="B20F2F08"/>
    <w:multiLevelType w:val="singleLevel"/>
    <w:tmpl w:val="B20F2F08"/>
    <w:lvl w:ilvl="0" w:tentative="0">
      <w:start w:val="1"/>
      <w:numFmt w:val="chineseCounting"/>
      <w:suff w:val="nothing"/>
      <w:lvlText w:val="（%1）"/>
      <w:lvlJc w:val="left"/>
      <w:rPr>
        <w:rFonts w:hint="eastAsia"/>
      </w:rPr>
    </w:lvl>
  </w:abstractNum>
  <w:abstractNum w:abstractNumId="3">
    <w:nsid w:val="02BBF924"/>
    <w:multiLevelType w:val="singleLevel"/>
    <w:tmpl w:val="02BBF924"/>
    <w:lvl w:ilvl="0" w:tentative="0">
      <w:start w:val="3"/>
      <w:numFmt w:val="chineseCounting"/>
      <w:suff w:val="nothing"/>
      <w:lvlText w:val="（%1）"/>
      <w:lvlJc w:val="left"/>
      <w:rPr>
        <w:rFonts w:hint="eastAsia"/>
      </w:rPr>
    </w:lvl>
  </w:abstractNum>
  <w:abstractNum w:abstractNumId="4">
    <w:nsid w:val="346B355C"/>
    <w:multiLevelType w:val="singleLevel"/>
    <w:tmpl w:val="346B355C"/>
    <w:lvl w:ilvl="0" w:tentative="0">
      <w:start w:val="1"/>
      <w:numFmt w:val="chineseCounting"/>
      <w:suff w:val="nothing"/>
      <w:lvlText w:val="%1、"/>
      <w:lvlJc w:val="left"/>
      <w:rPr>
        <w:rFonts w:hint="eastAsia"/>
      </w:rPr>
    </w:lvl>
  </w:abstractNum>
  <w:num w:numId="1">
    <w:abstractNumId w:val="2"/>
  </w:num>
  <w:num w:numId="2">
    <w:abstractNumId w:val="4"/>
  </w:num>
  <w:num w:numId="3">
    <w:abstractNumId w:val="3"/>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15451219">
    <w15:presenceInfo w15:providerId="WPS Office" w15:userId="9818881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0"/>
  <w:bordersDoNotSurroundFooter w:val="0"/>
  <w:trackRevisions w:val="1"/>
  <w:documentProtection w:enforcement="0"/>
  <w:defaultTabStop w:val="64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wZDc2ZmIyYTAyMjZhOTAzMjZjMDNlYmE5ZTk4NDYifQ=="/>
  </w:docVars>
  <w:rsids>
    <w:rsidRoot w:val="00000000"/>
    <w:rsid w:val="00A55BF9"/>
    <w:rsid w:val="00EF5853"/>
    <w:rsid w:val="025C1016"/>
    <w:rsid w:val="032A1114"/>
    <w:rsid w:val="042F2D37"/>
    <w:rsid w:val="0456434F"/>
    <w:rsid w:val="04863DE8"/>
    <w:rsid w:val="04F32E5D"/>
    <w:rsid w:val="052845B8"/>
    <w:rsid w:val="06DD024B"/>
    <w:rsid w:val="08195CB5"/>
    <w:rsid w:val="08634780"/>
    <w:rsid w:val="09306D58"/>
    <w:rsid w:val="0A7C7130"/>
    <w:rsid w:val="0B907F82"/>
    <w:rsid w:val="0CAD0485"/>
    <w:rsid w:val="0D2F5440"/>
    <w:rsid w:val="0EC10113"/>
    <w:rsid w:val="0F3F2715"/>
    <w:rsid w:val="0FBF4992"/>
    <w:rsid w:val="1069424E"/>
    <w:rsid w:val="10BE4C49"/>
    <w:rsid w:val="110278F3"/>
    <w:rsid w:val="122E5F80"/>
    <w:rsid w:val="13D37DDF"/>
    <w:rsid w:val="164E0880"/>
    <w:rsid w:val="18F25DD8"/>
    <w:rsid w:val="19DE1C0A"/>
    <w:rsid w:val="1D40089E"/>
    <w:rsid w:val="1E2C7D87"/>
    <w:rsid w:val="20C36EDE"/>
    <w:rsid w:val="219B3920"/>
    <w:rsid w:val="233C76AD"/>
    <w:rsid w:val="234207E5"/>
    <w:rsid w:val="24E40840"/>
    <w:rsid w:val="26633140"/>
    <w:rsid w:val="270257EA"/>
    <w:rsid w:val="271928D1"/>
    <w:rsid w:val="27E713F0"/>
    <w:rsid w:val="28DE1FD8"/>
    <w:rsid w:val="29DC171C"/>
    <w:rsid w:val="2A9E25EE"/>
    <w:rsid w:val="2B4D019C"/>
    <w:rsid w:val="2C714E0E"/>
    <w:rsid w:val="2CD71C7A"/>
    <w:rsid w:val="2DC52262"/>
    <w:rsid w:val="2E6E5AA9"/>
    <w:rsid w:val="2F476D2D"/>
    <w:rsid w:val="30927465"/>
    <w:rsid w:val="317E4255"/>
    <w:rsid w:val="31B8252A"/>
    <w:rsid w:val="31CB5E30"/>
    <w:rsid w:val="3207424B"/>
    <w:rsid w:val="3222400D"/>
    <w:rsid w:val="3316101A"/>
    <w:rsid w:val="33F702EF"/>
    <w:rsid w:val="33F80BB0"/>
    <w:rsid w:val="344031FD"/>
    <w:rsid w:val="34CA38BF"/>
    <w:rsid w:val="358838F4"/>
    <w:rsid w:val="35957DBF"/>
    <w:rsid w:val="37094CE2"/>
    <w:rsid w:val="374B56D7"/>
    <w:rsid w:val="38F90810"/>
    <w:rsid w:val="39736669"/>
    <w:rsid w:val="39942491"/>
    <w:rsid w:val="39DC2B76"/>
    <w:rsid w:val="3A023771"/>
    <w:rsid w:val="3A630A59"/>
    <w:rsid w:val="3B0A6A81"/>
    <w:rsid w:val="3B895CD0"/>
    <w:rsid w:val="3C9C5ED7"/>
    <w:rsid w:val="3E94330A"/>
    <w:rsid w:val="3FB057BD"/>
    <w:rsid w:val="40D009E9"/>
    <w:rsid w:val="41731329"/>
    <w:rsid w:val="41D20C83"/>
    <w:rsid w:val="43277FD9"/>
    <w:rsid w:val="4416656F"/>
    <w:rsid w:val="44A21BB1"/>
    <w:rsid w:val="45642717"/>
    <w:rsid w:val="46650600"/>
    <w:rsid w:val="474358CD"/>
    <w:rsid w:val="47D013AB"/>
    <w:rsid w:val="49D15412"/>
    <w:rsid w:val="4A8D0AD3"/>
    <w:rsid w:val="4BD44BFB"/>
    <w:rsid w:val="4C337117"/>
    <w:rsid w:val="4DB1384A"/>
    <w:rsid w:val="4E710F72"/>
    <w:rsid w:val="4F0F0A24"/>
    <w:rsid w:val="4F2C30EB"/>
    <w:rsid w:val="4FF17153"/>
    <w:rsid w:val="50B87AB3"/>
    <w:rsid w:val="51385AA6"/>
    <w:rsid w:val="51E31065"/>
    <w:rsid w:val="52102850"/>
    <w:rsid w:val="52C27FEE"/>
    <w:rsid w:val="52F25252"/>
    <w:rsid w:val="53B4107B"/>
    <w:rsid w:val="54436F0C"/>
    <w:rsid w:val="5588221B"/>
    <w:rsid w:val="56586573"/>
    <w:rsid w:val="574770DA"/>
    <w:rsid w:val="58B008E9"/>
    <w:rsid w:val="596040BD"/>
    <w:rsid w:val="5A0060FB"/>
    <w:rsid w:val="5AD36E0F"/>
    <w:rsid w:val="5B435A44"/>
    <w:rsid w:val="5BB82905"/>
    <w:rsid w:val="5BC25D4D"/>
    <w:rsid w:val="5BFD2097"/>
    <w:rsid w:val="5D760429"/>
    <w:rsid w:val="5DAD189A"/>
    <w:rsid w:val="5E203E1A"/>
    <w:rsid w:val="5F171D86"/>
    <w:rsid w:val="5FAD2EAC"/>
    <w:rsid w:val="641206A9"/>
    <w:rsid w:val="64356978"/>
    <w:rsid w:val="67006EDF"/>
    <w:rsid w:val="68D81AF2"/>
    <w:rsid w:val="68F50B4B"/>
    <w:rsid w:val="69EB54A2"/>
    <w:rsid w:val="6AFA59F3"/>
    <w:rsid w:val="6B915A36"/>
    <w:rsid w:val="6BB52852"/>
    <w:rsid w:val="6C5C4BB7"/>
    <w:rsid w:val="6CAE4415"/>
    <w:rsid w:val="6CE10C19"/>
    <w:rsid w:val="6D390A55"/>
    <w:rsid w:val="6DC02F24"/>
    <w:rsid w:val="6DF0743A"/>
    <w:rsid w:val="6F081656"/>
    <w:rsid w:val="70453BB5"/>
    <w:rsid w:val="70E11804"/>
    <w:rsid w:val="7155734F"/>
    <w:rsid w:val="74E70531"/>
    <w:rsid w:val="77B72A76"/>
    <w:rsid w:val="791B1FE1"/>
    <w:rsid w:val="79517126"/>
    <w:rsid w:val="7A681C61"/>
    <w:rsid w:val="7A8A0B42"/>
    <w:rsid w:val="7B4412F3"/>
    <w:rsid w:val="7CAC2EC5"/>
    <w:rsid w:val="7DC73E5B"/>
    <w:rsid w:val="7FFFC538"/>
    <w:rsid w:val="BFF39BFF"/>
    <w:rsid w:val="FCCCA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autoSpaceDN/>
      <w:adjustRightInd w:val="0"/>
      <w:snapToGrid w:val="0"/>
      <w:spacing w:line="560" w:lineRule="exact"/>
      <w:jc w:val="left"/>
      <w:textAlignment w:val="baseline"/>
    </w:pPr>
    <w:rPr>
      <w:rFonts w:ascii="仿宋_GB2312" w:hAnsi="仿宋_GB2312" w:eastAsia="仿宋_GB2312" w:cs="仿宋_GB2312"/>
      <w:snapToGrid w:val="0"/>
      <w:color w:val="000000"/>
      <w:kern w:val="0"/>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60" w:lineRule="exact"/>
      <w:outlineLvl w:val="0"/>
    </w:pPr>
    <w:rPr>
      <w:rFonts w:eastAsia="黑体"/>
      <w:b/>
      <w:kern w:val="44"/>
      <w:sz w:val="44"/>
    </w:rPr>
  </w:style>
  <w:style w:type="paragraph" w:styleId="3">
    <w:name w:val="heading 2"/>
    <w:basedOn w:val="1"/>
    <w:next w:val="1"/>
    <w:link w:val="20"/>
    <w:unhideWhenUsed/>
    <w:qFormat/>
    <w:uiPriority w:val="0"/>
    <w:pPr>
      <w:keepNext/>
      <w:keepLines/>
      <w:spacing w:before="260" w:beforeLines="0" w:beforeAutospacing="0" w:after="260" w:afterLines="0" w:afterAutospacing="0" w:line="560" w:lineRule="exact"/>
      <w:outlineLvl w:val="1"/>
    </w:pPr>
    <w:rPr>
      <w:rFonts w:ascii="黑体" w:hAnsi="黑体" w:eastAsia="黑体"/>
    </w:rPr>
  </w:style>
  <w:style w:type="paragraph" w:styleId="4">
    <w:name w:val="heading 3"/>
    <w:basedOn w:val="1"/>
    <w:next w:val="1"/>
    <w:link w:val="21"/>
    <w:unhideWhenUsed/>
    <w:qFormat/>
    <w:uiPriority w:val="0"/>
    <w:pPr>
      <w:keepNext w:val="0"/>
      <w:keepLines w:val="0"/>
      <w:autoSpaceDE/>
      <w:autoSpaceDN/>
      <w:spacing w:beforeLines="0" w:beforeAutospacing="0" w:afterLines="0" w:afterAutospacing="0" w:line="560" w:lineRule="exact"/>
      <w:outlineLvl w:val="2"/>
    </w:pPr>
    <w:rPr>
      <w:rFonts w:ascii="楷体" w:hAnsi="楷体" w:eastAsia="楷体"/>
      <w:b/>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semiHidden/>
    <w:qFormat/>
    <w:uiPriority w:val="0"/>
    <w:rPr>
      <w:rFonts w:ascii="Arial" w:hAnsi="Arial" w:eastAsia="Arial" w:cs="Arial"/>
      <w:sz w:val="21"/>
      <w:szCs w:val="21"/>
      <w:lang w:val="en-US" w:eastAsia="en-US" w:bidi="ar-SA"/>
    </w:rPr>
  </w:style>
  <w:style w:type="paragraph" w:styleId="7">
    <w:name w:val="HTML Address"/>
    <w:basedOn w:val="1"/>
    <w:qFormat/>
    <w:uiPriority w:val="0"/>
    <w:rPr>
      <w:rFonts w:cs="楷体_GB2312"/>
      <w:b/>
      <w:bCs/>
      <w:iCs/>
      <w:spacing w:val="11"/>
      <w:kern w:val="0"/>
      <w:sz w:val="32"/>
      <w:szCs w:val="32"/>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character" w:styleId="15">
    <w:name w:val="Strong"/>
    <w:basedOn w:val="14"/>
    <w:qFormat/>
    <w:uiPriority w:val="0"/>
    <w:rPr>
      <w:b/>
      <w:bCs/>
    </w:rPr>
  </w:style>
  <w:style w:type="table" w:customStyle="1" w:styleId="16">
    <w:name w:val="Table Normal"/>
    <w:semiHidden/>
    <w:unhideWhenUsed/>
    <w:qFormat/>
    <w:uiPriority w:val="0"/>
    <w:tblPr>
      <w:tblCellMar>
        <w:top w:w="0" w:type="dxa"/>
        <w:left w:w="0" w:type="dxa"/>
        <w:bottom w:w="0" w:type="dxa"/>
        <w:right w:w="0" w:type="dxa"/>
      </w:tblCellMar>
    </w:tblPr>
  </w:style>
  <w:style w:type="paragraph" w:customStyle="1" w:styleId="17">
    <w:name w:val="Table Text"/>
    <w:basedOn w:val="1"/>
    <w:semiHidden/>
    <w:qFormat/>
    <w:uiPriority w:val="0"/>
    <w:rPr>
      <w:rFonts w:ascii="黑体" w:hAnsi="黑体" w:eastAsia="黑体" w:cs="黑体"/>
      <w:sz w:val="19"/>
      <w:szCs w:val="19"/>
      <w:lang w:val="en-US" w:eastAsia="en-US" w:bidi="ar-SA"/>
    </w:rPr>
  </w:style>
  <w:style w:type="paragraph" w:customStyle="1" w:styleId="18">
    <w:name w:val="表格"/>
    <w:basedOn w:val="1"/>
    <w:next w:val="1"/>
    <w:qFormat/>
    <w:uiPriority w:val="0"/>
    <w:pPr>
      <w:spacing w:line="560" w:lineRule="exact"/>
      <w:ind w:left="0"/>
      <w:jc w:val="center"/>
      <w:outlineLvl w:val="9"/>
    </w:pPr>
    <w:rPr>
      <w:rFonts w:ascii="Times New Roman" w:hAnsi="Times New Roman" w:cs="微软雅黑"/>
      <w:spacing w:val="11"/>
      <w:sz w:val="22"/>
      <w:szCs w:val="22"/>
    </w:rPr>
  </w:style>
  <w:style w:type="paragraph" w:styleId="19">
    <w:name w:val="List Paragraph"/>
    <w:basedOn w:val="1"/>
    <w:unhideWhenUsed/>
    <w:qFormat/>
    <w:uiPriority w:val="99"/>
    <w:pPr>
      <w:ind w:firstLine="420" w:firstLineChars="200"/>
    </w:pPr>
  </w:style>
  <w:style w:type="character" w:customStyle="1" w:styleId="20">
    <w:name w:val="标题 2 Char"/>
    <w:link w:val="3"/>
    <w:qFormat/>
    <w:uiPriority w:val="0"/>
    <w:rPr>
      <w:rFonts w:ascii="黑体" w:hAnsi="黑体" w:eastAsia="黑体"/>
      <w:sz w:val="32"/>
    </w:rPr>
  </w:style>
  <w:style w:type="character" w:customStyle="1" w:styleId="21">
    <w:name w:val="标题 3 Char"/>
    <w:link w:val="4"/>
    <w:qFormat/>
    <w:uiPriority w:val="0"/>
    <w:rPr>
      <w:rFonts w:ascii="楷体" w:hAnsi="楷体" w:eastAsia="楷体"/>
      <w:b/>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2469</Words>
  <Characters>2618</Characters>
  <Lines>0</Lines>
  <Paragraphs>0</Paragraphs>
  <TotalTime>18</TotalTime>
  <ScaleCrop>false</ScaleCrop>
  <LinksUpToDate>false</LinksUpToDate>
  <CharactersWithSpaces>2634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2025-07-22T04:50:00Z</dcterms:created>
  <dc:creator>50297</dc:creator>
  <cp:lastModifiedBy>WPS_1615451219</cp:lastModifiedBy>
  <dcterms:modified xsi:type="dcterms:W3CDTF">2025-09-19T02:44:42Z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eyJoZGlkIjoiYmFiMDkyZmVmYjkwZDY3YWQ0NTVkYTAwMDY0YTNiMTkiLCJ1c2VySWQiOiIxMTgwNTEzMzk5In0=</vt:lpwstr>
  </property>
  <property fmtid="{D5CDD505-2E9C-101B-9397-08002B2CF9AE}" pid="4" name="ICV">
    <vt:lpwstr>3A54A17905BF42D7ABE9C283EAD50D1A</vt:lpwstr>
  </property>
</Properties>
</file>