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0BB2CC">
      <w:pPr>
        <w:bidi w:val="0"/>
        <w:ind w:left="0" w:leftChars="0" w:firstLine="0" w:firstLineChars="0"/>
        <w:outlineLvl w:val="9"/>
        <w:rPr>
          <w:rFonts w:hint="eastAsia" w:ascii="仿宋_GB2312" w:hAnsi="仿宋_GB2312" w:eastAsia="仿宋_GB2312" w:cs="仿宋_GB2312"/>
          <w:sz w:val="52"/>
          <w:szCs w:val="52"/>
          <w:highlight w:val="none"/>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B3A8768">
      <w:pPr>
        <w:keepNext w:val="0"/>
        <w:keepLines w:val="0"/>
        <w:pageBreakBefore w:val="0"/>
        <w:widowControl/>
        <w:kinsoku/>
        <w:wordWrap/>
        <w:overflowPunct/>
        <w:topLinePunct w:val="0"/>
        <w:autoSpaceDE/>
        <w:autoSpaceDN/>
        <w:bidi w:val="0"/>
        <w:adjustRightInd/>
        <w:snapToGrid w:val="0"/>
        <w:spacing w:line="360" w:lineRule="auto"/>
        <w:ind w:left="0" w:leftChars="0" w:firstLine="0" w:firstLineChars="0"/>
        <w:jc w:val="center"/>
        <w:textAlignment w:val="auto"/>
        <w:outlineLvl w:val="9"/>
        <w:rPr>
          <w:rFonts w:hint="eastAsia" w:ascii="黑体" w:hAnsi="黑体" w:eastAsia="黑体" w:cs="黑体"/>
          <w:b/>
          <w:bCs/>
          <w:sz w:val="52"/>
          <w:szCs w:val="52"/>
          <w:highlight w:val="none"/>
          <w:lang w:val="en-US" w:eastAsia="zh-CN"/>
        </w:rPr>
      </w:pPr>
    </w:p>
    <w:p w14:paraId="65B30659">
      <w:pPr>
        <w:keepNext w:val="0"/>
        <w:keepLines w:val="0"/>
        <w:pageBreakBefore w:val="0"/>
        <w:widowControl/>
        <w:kinsoku/>
        <w:wordWrap/>
        <w:overflowPunct/>
        <w:topLinePunct w:val="0"/>
        <w:autoSpaceDE/>
        <w:autoSpaceDN/>
        <w:bidi w:val="0"/>
        <w:adjustRightInd/>
        <w:snapToGrid w:val="0"/>
        <w:spacing w:line="360" w:lineRule="auto"/>
        <w:ind w:left="0" w:leftChars="0" w:firstLine="0" w:firstLineChars="0"/>
        <w:jc w:val="center"/>
        <w:textAlignment w:val="auto"/>
        <w:outlineLvl w:val="9"/>
        <w:rPr>
          <w:rFonts w:hint="eastAsia" w:ascii="黑体" w:hAnsi="黑体" w:eastAsia="黑体" w:cs="黑体"/>
          <w:b/>
          <w:bCs/>
          <w:sz w:val="52"/>
          <w:szCs w:val="52"/>
          <w:highlight w:val="none"/>
          <w:lang w:val="en-US" w:eastAsia="zh-CN"/>
        </w:rPr>
      </w:pPr>
      <w:r>
        <w:rPr>
          <w:rFonts w:hint="eastAsia" w:ascii="黑体" w:hAnsi="黑体" w:eastAsia="黑体" w:cs="黑体"/>
          <w:b/>
          <w:bCs/>
          <w:sz w:val="52"/>
          <w:szCs w:val="52"/>
          <w:highlight w:val="none"/>
          <w:lang w:val="en-US" w:eastAsia="zh-CN"/>
        </w:rPr>
        <w:t>克拉玛依区2024年度</w:t>
      </w:r>
    </w:p>
    <w:p w14:paraId="44E3FC8D">
      <w:pPr>
        <w:keepNext w:val="0"/>
        <w:keepLines w:val="0"/>
        <w:pageBreakBefore w:val="0"/>
        <w:widowControl/>
        <w:kinsoku/>
        <w:wordWrap/>
        <w:overflowPunct/>
        <w:topLinePunct w:val="0"/>
        <w:autoSpaceDE/>
        <w:autoSpaceDN/>
        <w:bidi w:val="0"/>
        <w:adjustRightInd/>
        <w:snapToGrid w:val="0"/>
        <w:spacing w:before="0" w:after="0" w:line="360" w:lineRule="auto"/>
        <w:ind w:left="0" w:leftChars="0" w:firstLine="0" w:firstLineChars="0"/>
        <w:jc w:val="center"/>
        <w:textAlignment w:val="auto"/>
        <w:outlineLvl w:val="9"/>
        <w:rPr>
          <w:rFonts w:hint="eastAsia" w:ascii="黑体" w:hAnsi="黑体" w:eastAsia="黑体" w:cs="黑体"/>
          <w:b/>
          <w:bCs/>
          <w:sz w:val="52"/>
          <w:szCs w:val="52"/>
          <w:highlight w:val="none"/>
          <w:lang w:val="en-US" w:eastAsia="zh-CN"/>
        </w:rPr>
      </w:pPr>
      <w:r>
        <w:rPr>
          <w:rFonts w:hint="eastAsia" w:ascii="黑体" w:hAnsi="黑体" w:eastAsia="黑体" w:cs="黑体"/>
          <w:b/>
          <w:bCs/>
          <w:sz w:val="52"/>
          <w:szCs w:val="52"/>
          <w:highlight w:val="none"/>
          <w:lang w:val="en-US" w:eastAsia="zh-CN"/>
        </w:rPr>
        <w:t>绩效评价报告</w:t>
      </w:r>
    </w:p>
    <w:p w14:paraId="69403DDF">
      <w:pPr>
        <w:pStyle w:val="2"/>
        <w:ind w:left="0" w:leftChars="0" w:firstLine="0" w:firstLineChars="0"/>
        <w:rPr>
          <w:rFonts w:hint="eastAsia" w:ascii="仿宋_GB2312" w:hAnsi="仿宋_GB2312" w:eastAsia="仿宋_GB2312" w:cs="仿宋_GB2312"/>
          <w:highlight w:val="none"/>
        </w:rPr>
      </w:pPr>
    </w:p>
    <w:p w14:paraId="26996651">
      <w:pPr>
        <w:tabs>
          <w:tab w:val="left" w:pos="7259"/>
        </w:tabs>
        <w:ind w:left="0" w:leftChars="0" w:firstLine="0" w:firstLineChars="0"/>
        <w:jc w:val="left"/>
        <w:rPr>
          <w:rFonts w:hint="eastAsia" w:ascii="仿宋_GB2312" w:hAnsi="仿宋_GB2312" w:eastAsia="仿宋_GB2312" w:cs="仿宋_GB2312"/>
          <w:b/>
          <w:bCs/>
          <w:sz w:val="32"/>
          <w:szCs w:val="32"/>
          <w:highlight w:val="none"/>
          <w:lang w:eastAsia="zh-CN"/>
        </w:rPr>
      </w:pPr>
    </w:p>
    <w:p w14:paraId="53E02DE4">
      <w:pPr>
        <w:tabs>
          <w:tab w:val="left" w:pos="7259"/>
        </w:tabs>
        <w:ind w:left="0" w:leftChars="0" w:firstLine="0" w:firstLineChars="0"/>
        <w:jc w:val="left"/>
        <w:rPr>
          <w:rFonts w:hint="eastAsia" w:ascii="仿宋_GB2312" w:hAnsi="仿宋_GB2312" w:eastAsia="仿宋_GB2312" w:cs="仿宋_GB2312"/>
          <w:b/>
          <w:bCs/>
          <w:sz w:val="32"/>
          <w:szCs w:val="32"/>
          <w:highlight w:val="none"/>
          <w:lang w:eastAsia="zh-CN"/>
        </w:rPr>
      </w:pPr>
    </w:p>
    <w:p w14:paraId="0713E868">
      <w:pPr>
        <w:tabs>
          <w:tab w:val="left" w:pos="7259"/>
        </w:tabs>
        <w:ind w:left="0" w:leftChars="0" w:firstLine="0" w:firstLineChars="0"/>
        <w:jc w:val="left"/>
        <w:rPr>
          <w:rFonts w:hint="eastAsia" w:ascii="仿宋_GB2312" w:hAnsi="仿宋_GB2312" w:eastAsia="仿宋_GB2312" w:cs="仿宋_GB2312"/>
          <w:b/>
          <w:bCs/>
          <w:sz w:val="32"/>
          <w:szCs w:val="32"/>
          <w:highlight w:val="none"/>
          <w:lang w:eastAsia="zh-CN"/>
        </w:rPr>
      </w:pPr>
    </w:p>
    <w:p w14:paraId="701EE185">
      <w:pPr>
        <w:tabs>
          <w:tab w:val="left" w:pos="7259"/>
        </w:tabs>
        <w:ind w:left="0" w:leftChars="0" w:firstLine="0" w:firstLineChars="0"/>
        <w:jc w:val="left"/>
        <w:rPr>
          <w:rFonts w:hint="eastAsia" w:ascii="仿宋_GB2312" w:hAnsi="仿宋_GB2312" w:eastAsia="仿宋_GB2312" w:cs="仿宋_GB2312"/>
          <w:b/>
          <w:bCs/>
          <w:sz w:val="32"/>
          <w:szCs w:val="32"/>
          <w:highlight w:val="none"/>
          <w:lang w:eastAsia="zh-CN"/>
        </w:rPr>
      </w:pPr>
    </w:p>
    <w:p w14:paraId="0D324ED0">
      <w:pPr>
        <w:tabs>
          <w:tab w:val="left" w:pos="7259"/>
        </w:tabs>
        <w:ind w:left="0" w:leftChars="0" w:firstLine="0" w:firstLineChars="0"/>
        <w:jc w:val="left"/>
        <w:rPr>
          <w:rFonts w:hint="eastAsia" w:ascii="仿宋_GB2312" w:hAnsi="仿宋_GB2312" w:eastAsia="仿宋_GB2312" w:cs="仿宋_GB2312"/>
          <w:b/>
          <w:bCs/>
          <w:sz w:val="32"/>
          <w:szCs w:val="32"/>
          <w:highlight w:val="none"/>
          <w:lang w:eastAsia="zh-CN"/>
        </w:rPr>
      </w:pPr>
    </w:p>
    <w:p w14:paraId="160B17C4">
      <w:pPr>
        <w:tabs>
          <w:tab w:val="left" w:pos="7259"/>
        </w:tabs>
        <w:ind w:left="0" w:leftChars="0" w:firstLine="0" w:firstLineChars="0"/>
        <w:jc w:val="left"/>
        <w:rPr>
          <w:rFonts w:hint="eastAsia" w:ascii="仿宋_GB2312" w:hAnsi="仿宋_GB2312" w:eastAsia="仿宋_GB2312" w:cs="仿宋_GB2312"/>
          <w:b/>
          <w:bCs/>
          <w:sz w:val="32"/>
          <w:szCs w:val="32"/>
          <w:highlight w:val="none"/>
          <w:lang w:eastAsia="zh-CN"/>
        </w:rPr>
      </w:pPr>
    </w:p>
    <w:p w14:paraId="70853A36">
      <w:pPr>
        <w:tabs>
          <w:tab w:val="left" w:pos="7259"/>
        </w:tabs>
        <w:ind w:left="0" w:leftChars="0" w:firstLine="0" w:firstLineChars="0"/>
        <w:jc w:val="left"/>
        <w:rPr>
          <w:rFonts w:hint="eastAsia" w:ascii="仿宋_GB2312" w:hAnsi="仿宋_GB2312" w:eastAsia="仿宋_GB2312" w:cs="仿宋_GB2312"/>
          <w:b/>
          <w:bCs/>
          <w:sz w:val="32"/>
          <w:szCs w:val="32"/>
          <w:highlight w:val="none"/>
          <w:lang w:eastAsia="zh-CN"/>
        </w:rPr>
      </w:pPr>
      <w:r>
        <w:rPr>
          <w:rFonts w:hint="eastAsia" w:ascii="仿宋_GB2312" w:hAnsi="仿宋_GB2312" w:eastAsia="仿宋_GB2312" w:cs="仿宋_GB2312"/>
          <w:b/>
          <w:bCs/>
          <w:sz w:val="32"/>
          <w:szCs w:val="32"/>
          <w:highlight w:val="none"/>
          <w:lang w:eastAsia="zh-CN"/>
        </w:rPr>
        <w:tab/>
      </w:r>
    </w:p>
    <w:p w14:paraId="71099D77">
      <w:pPr>
        <w:keepNext w:val="0"/>
        <w:keepLines w:val="0"/>
        <w:pageBreakBefore w:val="0"/>
        <w:widowControl/>
        <w:tabs>
          <w:tab w:val="left" w:pos="21"/>
          <w:tab w:val="left" w:pos="210"/>
          <w:tab w:val="left" w:pos="840"/>
        </w:tabs>
        <w:kinsoku w:val="0"/>
        <w:wordWrap/>
        <w:overflowPunct w:val="0"/>
        <w:topLinePunct w:val="0"/>
        <w:autoSpaceDE w:val="0"/>
        <w:autoSpaceDN w:val="0"/>
        <w:bidi w:val="0"/>
        <w:adjustRightInd w:val="0"/>
        <w:snapToGrid/>
        <w:spacing w:before="120" w:after="120" w:line="360" w:lineRule="auto"/>
        <w:ind w:left="0" w:leftChars="0" w:firstLine="0" w:firstLineChars="0"/>
        <w:jc w:val="both"/>
        <w:textAlignment w:val="baseline"/>
        <w:rPr>
          <w:rFonts w:hint="eastAsia" w:ascii="黑体" w:hAnsi="黑体" w:eastAsia="黑体" w:cs="黑体"/>
          <w:kern w:val="0"/>
          <w:sz w:val="32"/>
          <w:szCs w:val="32"/>
          <w:highlight w:val="none"/>
          <w:lang w:val="en-US" w:eastAsia="zh-CN" w:bidi="en-US"/>
        </w:rPr>
      </w:pPr>
      <w:r>
        <w:rPr>
          <w:rFonts w:hint="eastAsia" w:ascii="仿宋_GB2312" w:hAnsi="仿宋_GB2312" w:eastAsia="仿宋_GB2312" w:cs="仿宋_GB2312"/>
          <w:kern w:val="0"/>
          <w:sz w:val="32"/>
          <w:szCs w:val="32"/>
          <w:highlight w:val="none"/>
          <w:lang w:val="en-US" w:eastAsia="zh-CN" w:bidi="en-US"/>
        </w:rPr>
        <w:tab/>
      </w:r>
      <w:r>
        <w:rPr>
          <w:rFonts w:hint="eastAsia" w:ascii="仿宋_GB2312" w:hAnsi="仿宋_GB2312" w:eastAsia="仿宋_GB2312" w:cs="仿宋_GB2312"/>
          <w:kern w:val="0"/>
          <w:sz w:val="32"/>
          <w:szCs w:val="32"/>
          <w:highlight w:val="none"/>
          <w:lang w:val="en-US" w:eastAsia="zh-CN" w:bidi="en-US"/>
        </w:rPr>
        <w:tab/>
      </w:r>
      <w:r>
        <w:rPr>
          <w:rFonts w:hint="eastAsia" w:ascii="仿宋_GB2312" w:hAnsi="仿宋_GB2312" w:eastAsia="仿宋_GB2312" w:cs="仿宋_GB2312"/>
          <w:kern w:val="0"/>
          <w:sz w:val="32"/>
          <w:szCs w:val="32"/>
          <w:highlight w:val="none"/>
          <w:lang w:val="en-US" w:eastAsia="zh-CN" w:bidi="en-US"/>
        </w:rPr>
        <w:tab/>
      </w:r>
      <w:r>
        <w:rPr>
          <w:rFonts w:hint="eastAsia" w:ascii="黑体" w:hAnsi="黑体" w:eastAsia="黑体" w:cs="黑体"/>
          <w:kern w:val="0"/>
          <w:sz w:val="32"/>
          <w:szCs w:val="32"/>
          <w:highlight w:val="none"/>
          <w:lang w:bidi="en-US"/>
        </w:rPr>
        <w:t>项目名称</w:t>
      </w:r>
      <w:r>
        <w:rPr>
          <w:rFonts w:hint="eastAsia" w:ascii="黑体" w:hAnsi="黑体" w:eastAsia="黑体" w:cs="黑体"/>
          <w:kern w:val="0"/>
          <w:sz w:val="32"/>
          <w:szCs w:val="32"/>
          <w:highlight w:val="none"/>
          <w:lang w:eastAsia="zh-CN" w:bidi="en-US"/>
        </w:rPr>
        <w:t>：</w:t>
      </w:r>
      <w:r>
        <w:rPr>
          <w:rFonts w:hint="eastAsia" w:ascii="黑体" w:hAnsi="黑体" w:eastAsia="黑体" w:cs="黑体"/>
          <w:kern w:val="0"/>
          <w:sz w:val="32"/>
          <w:szCs w:val="32"/>
          <w:highlight w:val="none"/>
          <w:lang w:val="en-US" w:eastAsia="zh-CN" w:bidi="en-US"/>
        </w:rPr>
        <w:tab/>
      </w:r>
      <w:r>
        <w:rPr>
          <w:rFonts w:hint="eastAsia" w:ascii="黑体" w:hAnsi="黑体" w:eastAsia="黑体" w:cs="黑体"/>
          <w:kern w:val="0"/>
          <w:sz w:val="32"/>
          <w:szCs w:val="32"/>
          <w:highlight w:val="none"/>
          <w:lang w:val="en-US" w:eastAsia="zh-CN" w:bidi="en-US"/>
        </w:rPr>
        <w:t>A2024-061、A2024-062、A2024-063、</w:t>
      </w:r>
      <w:r>
        <w:rPr>
          <w:rFonts w:hint="eastAsia" w:ascii="黑体" w:hAnsi="黑体" w:eastAsia="黑体" w:cs="黑体"/>
          <w:kern w:val="0"/>
          <w:sz w:val="32"/>
          <w:szCs w:val="32"/>
          <w:highlight w:val="none"/>
          <w:lang w:val="en-US" w:eastAsia="zh-CN" w:bidi="en-US"/>
        </w:rPr>
        <w:tab/>
      </w:r>
      <w:r>
        <w:rPr>
          <w:rFonts w:hint="eastAsia" w:ascii="黑体" w:hAnsi="黑体" w:eastAsia="黑体" w:cs="黑体"/>
          <w:kern w:val="0"/>
          <w:sz w:val="32"/>
          <w:szCs w:val="32"/>
          <w:highlight w:val="none"/>
          <w:lang w:val="en-US" w:eastAsia="zh-CN" w:bidi="en-US"/>
        </w:rPr>
        <w:tab/>
      </w:r>
      <w:r>
        <w:rPr>
          <w:rFonts w:hint="eastAsia" w:ascii="黑体" w:hAnsi="黑体" w:eastAsia="黑体" w:cs="黑体"/>
          <w:kern w:val="0"/>
          <w:sz w:val="32"/>
          <w:szCs w:val="32"/>
          <w:highlight w:val="none"/>
          <w:lang w:val="en-US" w:eastAsia="zh-CN" w:bidi="en-US"/>
        </w:rPr>
        <w:tab/>
      </w:r>
      <w:r>
        <w:rPr>
          <w:rFonts w:hint="eastAsia" w:ascii="黑体" w:hAnsi="黑体" w:eastAsia="黑体" w:cs="黑体"/>
          <w:kern w:val="0"/>
          <w:sz w:val="32"/>
          <w:szCs w:val="32"/>
          <w:highlight w:val="none"/>
          <w:lang w:val="en-US" w:eastAsia="zh-CN" w:bidi="en-US"/>
        </w:rPr>
        <w:tab/>
      </w:r>
      <w:r>
        <w:rPr>
          <w:rFonts w:hint="eastAsia" w:ascii="黑体" w:hAnsi="黑体" w:eastAsia="黑体" w:cs="黑体"/>
          <w:kern w:val="0"/>
          <w:sz w:val="32"/>
          <w:szCs w:val="32"/>
          <w:highlight w:val="none"/>
          <w:lang w:val="en-US" w:eastAsia="zh-CN" w:bidi="en-US"/>
        </w:rPr>
        <w:tab/>
      </w:r>
      <w:r>
        <w:rPr>
          <w:rFonts w:hint="eastAsia" w:ascii="黑体" w:hAnsi="黑体" w:eastAsia="黑体" w:cs="黑体"/>
          <w:kern w:val="0"/>
          <w:sz w:val="32"/>
          <w:szCs w:val="32"/>
          <w:highlight w:val="none"/>
          <w:lang w:val="en-US" w:eastAsia="zh-CN" w:bidi="en-US"/>
        </w:rPr>
        <w:tab/>
      </w:r>
      <w:r>
        <w:rPr>
          <w:rFonts w:hint="eastAsia" w:ascii="黑体" w:hAnsi="黑体" w:eastAsia="黑体" w:cs="黑体"/>
          <w:kern w:val="0"/>
          <w:sz w:val="32"/>
          <w:szCs w:val="32"/>
          <w:highlight w:val="none"/>
          <w:lang w:val="en-US" w:eastAsia="zh-CN" w:bidi="en-US"/>
        </w:rPr>
        <w:t>A2024-064、A2024-065</w:t>
      </w:r>
    </w:p>
    <w:p w14:paraId="303FBE70">
      <w:pPr>
        <w:keepNext w:val="0"/>
        <w:keepLines w:val="0"/>
        <w:pageBreakBefore w:val="0"/>
        <w:widowControl/>
        <w:tabs>
          <w:tab w:val="left" w:pos="21"/>
          <w:tab w:val="left" w:pos="210"/>
          <w:tab w:val="left" w:pos="840"/>
        </w:tabs>
        <w:kinsoku w:val="0"/>
        <w:wordWrap/>
        <w:overflowPunct w:val="0"/>
        <w:topLinePunct w:val="0"/>
        <w:autoSpaceDE w:val="0"/>
        <w:autoSpaceDN w:val="0"/>
        <w:bidi w:val="0"/>
        <w:adjustRightInd w:val="0"/>
        <w:snapToGrid/>
        <w:spacing w:before="120" w:after="120" w:line="360" w:lineRule="auto"/>
        <w:ind w:left="0" w:leftChars="0" w:firstLine="0" w:firstLineChars="0"/>
        <w:jc w:val="both"/>
        <w:textAlignment w:val="baseline"/>
        <w:rPr>
          <w:rFonts w:hint="eastAsia" w:ascii="黑体" w:hAnsi="黑体" w:eastAsia="黑体" w:cs="黑体"/>
          <w:kern w:val="0"/>
          <w:sz w:val="32"/>
          <w:szCs w:val="32"/>
          <w:highlight w:val="none"/>
          <w:lang w:val="en-US" w:eastAsia="zh-CN" w:bidi="en-US"/>
        </w:rPr>
      </w:pPr>
      <w:r>
        <w:rPr>
          <w:rFonts w:hint="eastAsia" w:ascii="黑体" w:hAnsi="黑体" w:eastAsia="黑体" w:cs="黑体"/>
          <w:kern w:val="0"/>
          <w:sz w:val="32"/>
          <w:szCs w:val="32"/>
          <w:highlight w:val="none"/>
          <w:lang w:val="en-US" w:eastAsia="zh-CN" w:bidi="en-US"/>
        </w:rPr>
        <w:tab/>
      </w:r>
      <w:r>
        <w:rPr>
          <w:rFonts w:hint="eastAsia" w:ascii="黑体" w:hAnsi="黑体" w:eastAsia="黑体" w:cs="黑体"/>
          <w:kern w:val="0"/>
          <w:sz w:val="32"/>
          <w:szCs w:val="32"/>
          <w:highlight w:val="none"/>
          <w:lang w:val="en-US" w:eastAsia="zh-CN" w:bidi="en-US"/>
        </w:rPr>
        <w:tab/>
      </w:r>
      <w:r>
        <w:rPr>
          <w:rFonts w:hint="eastAsia" w:ascii="黑体" w:hAnsi="黑体" w:eastAsia="黑体" w:cs="黑体"/>
          <w:kern w:val="0"/>
          <w:sz w:val="32"/>
          <w:szCs w:val="32"/>
          <w:highlight w:val="none"/>
          <w:lang w:val="en-US" w:eastAsia="zh-CN" w:bidi="en-US"/>
        </w:rPr>
        <w:tab/>
      </w:r>
      <w:r>
        <w:rPr>
          <w:rFonts w:hint="eastAsia" w:ascii="黑体" w:hAnsi="黑体" w:eastAsia="黑体" w:cs="黑体"/>
          <w:kern w:val="0"/>
          <w:sz w:val="32"/>
          <w:szCs w:val="32"/>
          <w:highlight w:val="none"/>
          <w:lang w:val="en-US" w:eastAsia="zh-CN" w:bidi="en-US"/>
        </w:rPr>
        <w:tab/>
      </w:r>
      <w:r>
        <w:rPr>
          <w:rFonts w:hint="eastAsia" w:ascii="黑体" w:hAnsi="黑体" w:eastAsia="黑体" w:cs="黑体"/>
          <w:kern w:val="0"/>
          <w:sz w:val="32"/>
          <w:szCs w:val="32"/>
          <w:highlight w:val="none"/>
          <w:lang w:val="en-US" w:eastAsia="zh-CN" w:bidi="en-US"/>
        </w:rPr>
        <w:tab/>
      </w:r>
      <w:r>
        <w:rPr>
          <w:rFonts w:hint="eastAsia" w:ascii="黑体" w:hAnsi="黑体" w:eastAsia="黑体" w:cs="黑体"/>
          <w:kern w:val="0"/>
          <w:sz w:val="32"/>
          <w:szCs w:val="32"/>
          <w:highlight w:val="none"/>
          <w:lang w:val="en-US" w:eastAsia="zh-CN" w:bidi="en-US"/>
        </w:rPr>
        <w:tab/>
      </w:r>
      <w:r>
        <w:rPr>
          <w:rFonts w:hint="eastAsia" w:ascii="黑体" w:hAnsi="黑体" w:eastAsia="黑体" w:cs="黑体"/>
          <w:kern w:val="0"/>
          <w:sz w:val="32"/>
          <w:szCs w:val="32"/>
          <w:highlight w:val="none"/>
          <w:lang w:val="en-US" w:eastAsia="zh-CN" w:bidi="en-US"/>
        </w:rPr>
        <w:t>克拉玛依区老旧电梯更新改造项目</w:t>
      </w:r>
    </w:p>
    <w:p w14:paraId="097CBF5F">
      <w:pPr>
        <w:widowControl/>
        <w:tabs>
          <w:tab w:val="left" w:pos="840"/>
        </w:tabs>
        <w:overflowPunct w:val="0"/>
        <w:autoSpaceDE w:val="0"/>
        <w:autoSpaceDN w:val="0"/>
        <w:adjustRightInd w:val="0"/>
        <w:spacing w:before="120" w:after="120" w:line="360" w:lineRule="auto"/>
        <w:ind w:left="0" w:leftChars="0" w:firstLine="0" w:firstLineChars="0"/>
        <w:jc w:val="both"/>
        <w:textAlignment w:val="baseline"/>
        <w:rPr>
          <w:rFonts w:hint="eastAsia" w:ascii="黑体" w:hAnsi="黑体" w:eastAsia="黑体" w:cs="黑体"/>
          <w:kern w:val="0"/>
          <w:sz w:val="32"/>
          <w:szCs w:val="32"/>
          <w:highlight w:val="none"/>
          <w:lang w:val="en-US" w:eastAsia="zh-CN" w:bidi="en-US"/>
        </w:rPr>
      </w:pPr>
      <w:r>
        <w:rPr>
          <w:rFonts w:hint="eastAsia" w:ascii="黑体" w:hAnsi="黑体" w:eastAsia="黑体" w:cs="黑体"/>
          <w:kern w:val="0"/>
          <w:sz w:val="32"/>
          <w:szCs w:val="32"/>
          <w:highlight w:val="none"/>
          <w:lang w:val="en-US" w:eastAsia="zh-CN" w:bidi="en-US"/>
        </w:rPr>
        <w:tab/>
      </w:r>
      <w:r>
        <w:rPr>
          <w:rFonts w:hint="eastAsia" w:ascii="黑体" w:hAnsi="黑体" w:eastAsia="黑体" w:cs="黑体"/>
          <w:kern w:val="0"/>
          <w:sz w:val="32"/>
          <w:szCs w:val="32"/>
          <w:highlight w:val="none"/>
          <w:lang w:bidi="en-US"/>
        </w:rPr>
        <w:t>项目单位：</w:t>
      </w:r>
      <w:r>
        <w:rPr>
          <w:rFonts w:hint="eastAsia" w:ascii="黑体" w:hAnsi="黑体" w:eastAsia="黑体" w:cs="黑体"/>
          <w:kern w:val="0"/>
          <w:sz w:val="32"/>
          <w:szCs w:val="32"/>
          <w:highlight w:val="none"/>
          <w:lang w:val="en-US" w:eastAsia="zh-CN" w:bidi="en-US"/>
        </w:rPr>
        <w:tab/>
      </w:r>
      <w:r>
        <w:rPr>
          <w:rFonts w:hint="eastAsia" w:ascii="黑体" w:hAnsi="黑体" w:eastAsia="黑体" w:cs="黑体"/>
          <w:kern w:val="0"/>
          <w:sz w:val="32"/>
          <w:szCs w:val="32"/>
          <w:highlight w:val="none"/>
          <w:lang w:val="en-US" w:eastAsia="zh-CN" w:bidi="en-US"/>
        </w:rPr>
        <w:t>克拉玛依区住房和城乡建设局</w:t>
      </w:r>
    </w:p>
    <w:p w14:paraId="608C65BC">
      <w:pPr>
        <w:widowControl/>
        <w:tabs>
          <w:tab w:val="left" w:pos="840"/>
        </w:tabs>
        <w:overflowPunct w:val="0"/>
        <w:autoSpaceDE w:val="0"/>
        <w:autoSpaceDN w:val="0"/>
        <w:adjustRightInd w:val="0"/>
        <w:spacing w:before="120" w:after="120" w:line="360" w:lineRule="auto"/>
        <w:ind w:left="0" w:leftChars="0" w:firstLine="0" w:firstLineChars="0"/>
        <w:jc w:val="both"/>
        <w:textAlignment w:val="baseline"/>
        <w:rPr>
          <w:rFonts w:hint="eastAsia" w:ascii="黑体" w:hAnsi="黑体" w:eastAsia="黑体" w:cs="黑体"/>
          <w:kern w:val="0"/>
          <w:sz w:val="32"/>
          <w:szCs w:val="32"/>
          <w:highlight w:val="none"/>
          <w:lang w:val="en-US" w:eastAsia="zh-CN" w:bidi="en-US"/>
        </w:rPr>
      </w:pPr>
      <w:r>
        <w:rPr>
          <w:rFonts w:hint="eastAsia" w:ascii="黑体" w:hAnsi="黑体" w:eastAsia="黑体" w:cs="黑体"/>
          <w:kern w:val="0"/>
          <w:sz w:val="32"/>
          <w:szCs w:val="32"/>
          <w:highlight w:val="none"/>
          <w:lang w:val="en-US" w:eastAsia="zh-CN" w:bidi="en-US"/>
        </w:rPr>
        <w:tab/>
      </w:r>
      <w:r>
        <w:rPr>
          <w:rFonts w:hint="eastAsia" w:ascii="黑体" w:hAnsi="黑体" w:eastAsia="黑体" w:cs="黑体"/>
          <w:kern w:val="0"/>
          <w:sz w:val="32"/>
          <w:szCs w:val="32"/>
          <w:highlight w:val="none"/>
          <w:lang w:val="en-US" w:eastAsia="zh-CN" w:bidi="en-US"/>
        </w:rPr>
        <w:t>主管部门：</w:t>
      </w:r>
      <w:r>
        <w:rPr>
          <w:rFonts w:hint="eastAsia" w:ascii="黑体" w:hAnsi="黑体" w:eastAsia="黑体" w:cs="黑体"/>
          <w:kern w:val="0"/>
          <w:sz w:val="32"/>
          <w:szCs w:val="32"/>
          <w:highlight w:val="none"/>
          <w:lang w:val="en-US" w:eastAsia="zh-CN" w:bidi="en-US"/>
        </w:rPr>
        <w:tab/>
      </w:r>
      <w:r>
        <w:rPr>
          <w:rFonts w:hint="eastAsia" w:ascii="黑体" w:hAnsi="黑体" w:eastAsia="黑体" w:cs="黑体"/>
          <w:kern w:val="0"/>
          <w:sz w:val="32"/>
          <w:szCs w:val="32"/>
          <w:highlight w:val="none"/>
          <w:lang w:val="en-US" w:eastAsia="zh-CN" w:bidi="en-US"/>
        </w:rPr>
        <w:t>克拉玛依区住房和城乡建设局</w:t>
      </w:r>
    </w:p>
    <w:p w14:paraId="693536C4">
      <w:pPr>
        <w:widowControl/>
        <w:tabs>
          <w:tab w:val="left" w:pos="840"/>
        </w:tabs>
        <w:overflowPunct w:val="0"/>
        <w:autoSpaceDE w:val="0"/>
        <w:autoSpaceDN w:val="0"/>
        <w:adjustRightInd w:val="0"/>
        <w:spacing w:before="120" w:after="120" w:line="360" w:lineRule="auto"/>
        <w:ind w:left="0" w:leftChars="0" w:firstLine="0" w:firstLineChars="0"/>
        <w:jc w:val="both"/>
        <w:textAlignment w:val="baseline"/>
        <w:rPr>
          <w:rFonts w:hint="eastAsia" w:ascii="黑体" w:hAnsi="黑体" w:eastAsia="黑体" w:cs="黑体"/>
          <w:kern w:val="0"/>
          <w:sz w:val="32"/>
          <w:szCs w:val="32"/>
          <w:highlight w:val="none"/>
          <w:lang w:val="en-US" w:eastAsia="zh-CN" w:bidi="en-US"/>
        </w:rPr>
      </w:pPr>
      <w:r>
        <w:rPr>
          <w:rFonts w:hint="eastAsia" w:ascii="黑体" w:hAnsi="黑体" w:eastAsia="黑体" w:cs="黑体"/>
          <w:kern w:val="0"/>
          <w:sz w:val="32"/>
          <w:szCs w:val="32"/>
          <w:highlight w:val="none"/>
          <w:lang w:val="en-US" w:eastAsia="zh-CN" w:bidi="en-US"/>
        </w:rPr>
        <w:tab/>
      </w:r>
      <w:r>
        <w:rPr>
          <w:rFonts w:hint="eastAsia" w:ascii="黑体" w:hAnsi="黑体" w:eastAsia="黑体" w:cs="黑体"/>
          <w:kern w:val="0"/>
          <w:sz w:val="32"/>
          <w:szCs w:val="32"/>
          <w:highlight w:val="none"/>
          <w:lang w:val="en-US" w:eastAsia="zh-CN" w:bidi="en-US"/>
        </w:rPr>
        <w:t>委托单位：</w:t>
      </w:r>
      <w:r>
        <w:rPr>
          <w:rFonts w:hint="eastAsia" w:ascii="黑体" w:hAnsi="黑体" w:eastAsia="黑体" w:cs="黑体"/>
          <w:kern w:val="0"/>
          <w:sz w:val="32"/>
          <w:szCs w:val="32"/>
          <w:highlight w:val="none"/>
          <w:lang w:val="en-US" w:eastAsia="zh-CN" w:bidi="en-US"/>
        </w:rPr>
        <w:tab/>
      </w:r>
      <w:r>
        <w:rPr>
          <w:rFonts w:hint="eastAsia" w:ascii="黑体" w:hAnsi="黑体" w:eastAsia="黑体" w:cs="黑体"/>
          <w:kern w:val="0"/>
          <w:sz w:val="32"/>
          <w:szCs w:val="32"/>
          <w:highlight w:val="none"/>
          <w:lang w:val="en-US" w:eastAsia="zh-CN" w:bidi="en-US"/>
        </w:rPr>
        <w:t>克拉玛依区财政局</w:t>
      </w:r>
    </w:p>
    <w:p w14:paraId="1C015317">
      <w:pPr>
        <w:widowControl/>
        <w:tabs>
          <w:tab w:val="left" w:pos="840"/>
        </w:tabs>
        <w:overflowPunct w:val="0"/>
        <w:autoSpaceDE w:val="0"/>
        <w:autoSpaceDN w:val="0"/>
        <w:adjustRightInd w:val="0"/>
        <w:spacing w:before="120" w:after="120" w:line="360" w:lineRule="auto"/>
        <w:ind w:left="0" w:leftChars="0" w:firstLine="0" w:firstLineChars="0"/>
        <w:jc w:val="both"/>
        <w:textAlignment w:val="baseline"/>
        <w:rPr>
          <w:rFonts w:hint="eastAsia" w:ascii="黑体" w:hAnsi="黑体" w:eastAsia="黑体" w:cs="黑体"/>
          <w:kern w:val="0"/>
          <w:sz w:val="32"/>
          <w:szCs w:val="32"/>
          <w:highlight w:val="none"/>
          <w:lang w:val="en-US" w:eastAsia="zh-CN" w:bidi="en-US"/>
        </w:rPr>
      </w:pPr>
      <w:r>
        <w:rPr>
          <w:rFonts w:hint="eastAsia" w:ascii="黑体" w:hAnsi="黑体" w:eastAsia="黑体" w:cs="黑体"/>
          <w:kern w:val="0"/>
          <w:sz w:val="32"/>
          <w:szCs w:val="32"/>
          <w:highlight w:val="none"/>
          <w:lang w:val="en-US" w:eastAsia="zh-CN" w:bidi="en-US"/>
        </w:rPr>
        <w:tab/>
      </w:r>
      <w:r>
        <w:rPr>
          <w:rFonts w:hint="eastAsia" w:ascii="黑体" w:hAnsi="黑体" w:eastAsia="黑体" w:cs="黑体"/>
          <w:kern w:val="0"/>
          <w:sz w:val="32"/>
          <w:szCs w:val="32"/>
          <w:highlight w:val="none"/>
          <w:lang w:bidi="en-US"/>
        </w:rPr>
        <w:t>评价机构：</w:t>
      </w:r>
      <w:r>
        <w:rPr>
          <w:rFonts w:hint="eastAsia" w:ascii="黑体" w:hAnsi="黑体" w:eastAsia="黑体" w:cs="黑体"/>
          <w:kern w:val="0"/>
          <w:sz w:val="32"/>
          <w:szCs w:val="32"/>
          <w:highlight w:val="none"/>
          <w:lang w:val="en-US" w:eastAsia="zh-CN" w:bidi="en-US"/>
        </w:rPr>
        <w:tab/>
      </w:r>
      <w:r>
        <w:rPr>
          <w:rFonts w:hint="eastAsia" w:ascii="黑体" w:hAnsi="黑体" w:eastAsia="黑体" w:cs="黑体"/>
          <w:kern w:val="0"/>
          <w:sz w:val="32"/>
          <w:szCs w:val="32"/>
          <w:highlight w:val="none"/>
          <w:lang w:val="en-US" w:eastAsia="zh-CN" w:bidi="en-US"/>
        </w:rPr>
        <w:t>北京上计会计师事务所</w:t>
      </w:r>
    </w:p>
    <w:p w14:paraId="27F1EC43">
      <w:pPr>
        <w:ind w:left="0" w:leftChars="0" w:firstLine="0" w:firstLineChars="0"/>
        <w:jc w:val="center"/>
        <w:rPr>
          <w:rFonts w:hint="eastAsia" w:ascii="黑体" w:hAnsi="黑体" w:eastAsia="黑体" w:cs="黑体"/>
          <w:kern w:val="0"/>
          <w:sz w:val="32"/>
          <w:szCs w:val="32"/>
          <w:highlight w:val="none"/>
          <w:lang w:bidi="en-US"/>
        </w:rPr>
        <w:sectPr>
          <w:type w:val="continuous"/>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黑体" w:hAnsi="黑体" w:eastAsia="黑体" w:cs="黑体"/>
          <w:kern w:val="0"/>
          <w:sz w:val="32"/>
          <w:szCs w:val="32"/>
          <w:highlight w:val="none"/>
          <w:lang w:val="en-US" w:eastAsia="zh-CN" w:bidi="en-US"/>
        </w:rPr>
        <w:t>2025</w:t>
      </w:r>
      <w:r>
        <w:rPr>
          <w:rFonts w:hint="eastAsia" w:ascii="黑体" w:hAnsi="黑体" w:eastAsia="黑体" w:cs="黑体"/>
          <w:kern w:val="0"/>
          <w:sz w:val="32"/>
          <w:szCs w:val="32"/>
          <w:highlight w:val="none"/>
          <w:lang w:bidi="en-US"/>
        </w:rPr>
        <w:t>年</w:t>
      </w:r>
      <w:r>
        <w:rPr>
          <w:rFonts w:hint="eastAsia" w:ascii="黑体" w:hAnsi="黑体" w:eastAsia="黑体" w:cs="黑体"/>
          <w:kern w:val="0"/>
          <w:sz w:val="32"/>
          <w:szCs w:val="32"/>
          <w:highlight w:val="none"/>
          <w:lang w:val="en-US" w:eastAsia="zh-CN" w:bidi="en-US"/>
        </w:rPr>
        <w:t>08</w:t>
      </w:r>
      <w:r>
        <w:rPr>
          <w:rFonts w:hint="eastAsia" w:ascii="黑体" w:hAnsi="黑体" w:eastAsia="黑体" w:cs="黑体"/>
          <w:kern w:val="0"/>
          <w:sz w:val="32"/>
          <w:szCs w:val="32"/>
          <w:highlight w:val="none"/>
          <w:lang w:bidi="en-US"/>
        </w:rPr>
        <w:t>月</w:t>
      </w:r>
    </w:p>
    <w:tbl>
      <w:tblPr>
        <w:tblStyle w:val="14"/>
        <w:tblW w:w="8899" w:type="dxa"/>
        <w:tblInd w:w="-12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93"/>
        <w:gridCol w:w="1277"/>
        <w:gridCol w:w="1447"/>
        <w:gridCol w:w="827"/>
        <w:gridCol w:w="1598"/>
        <w:gridCol w:w="2157"/>
      </w:tblGrid>
      <w:tr w14:paraId="138D4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8" w:hRule="atLeast"/>
        </w:trPr>
        <w:tc>
          <w:tcPr>
            <w:tcW w:w="6742" w:type="dxa"/>
            <w:gridSpan w:val="5"/>
            <w:tcBorders>
              <w:top w:val="nil"/>
              <w:left w:val="nil"/>
              <w:bottom w:val="nil"/>
              <w:right w:val="nil"/>
            </w:tcBorders>
            <w:shd w:val="clear" w:color="auto" w:fill="auto"/>
            <w:noWrap/>
            <w:vAlign w:val="center"/>
          </w:tcPr>
          <w:p w14:paraId="06484663">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snapToGrid w:val="0"/>
                <w:color w:val="000000"/>
                <w:kern w:val="0"/>
                <w:sz w:val="22"/>
                <w:szCs w:val="22"/>
                <w:highlight w:val="none"/>
                <w:u w:val="none"/>
                <w:lang w:val="en-US" w:eastAsia="zh-CN" w:bidi="ar"/>
              </w:rPr>
              <w:t>评价分值：</w:t>
            </w:r>
            <w:r>
              <w:rPr>
                <w:rFonts w:hint="eastAsia" w:cs="仿宋_GB2312"/>
                <w:i w:val="0"/>
                <w:iCs w:val="0"/>
                <w:snapToGrid w:val="0"/>
                <w:color w:val="000000"/>
                <w:kern w:val="0"/>
                <w:sz w:val="22"/>
                <w:szCs w:val="22"/>
                <w:highlight w:val="none"/>
                <w:u w:val="none"/>
                <w:lang w:val="en-US" w:eastAsia="zh-CN" w:bidi="ar"/>
              </w:rPr>
              <w:t>96</w:t>
            </w:r>
          </w:p>
        </w:tc>
        <w:tc>
          <w:tcPr>
            <w:tcW w:w="2157" w:type="dxa"/>
            <w:tcBorders>
              <w:top w:val="nil"/>
              <w:left w:val="nil"/>
              <w:bottom w:val="nil"/>
              <w:right w:val="nil"/>
            </w:tcBorders>
            <w:shd w:val="clear" w:color="auto" w:fill="auto"/>
            <w:noWrap/>
            <w:vAlign w:val="center"/>
          </w:tcPr>
          <w:p w14:paraId="4F50942B">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snapToGrid w:val="0"/>
                <w:color w:val="000000"/>
                <w:kern w:val="0"/>
                <w:sz w:val="22"/>
                <w:szCs w:val="22"/>
                <w:highlight w:val="none"/>
                <w:u w:val="none"/>
                <w:lang w:val="en-US" w:eastAsia="zh-CN" w:bidi="ar"/>
              </w:rPr>
              <w:t>评价等级：</w:t>
            </w:r>
            <w:r>
              <w:rPr>
                <w:rFonts w:hint="eastAsia" w:cs="仿宋_GB2312"/>
                <w:i w:val="0"/>
                <w:iCs w:val="0"/>
                <w:snapToGrid w:val="0"/>
                <w:color w:val="000000"/>
                <w:kern w:val="0"/>
                <w:sz w:val="22"/>
                <w:szCs w:val="22"/>
                <w:highlight w:val="none"/>
                <w:u w:val="none"/>
                <w:lang w:val="en-US" w:eastAsia="zh-CN" w:bidi="ar"/>
              </w:rPr>
              <w:t>优</w:t>
            </w:r>
          </w:p>
        </w:tc>
      </w:tr>
      <w:tr w14:paraId="47A37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8899" w:type="dxa"/>
            <w:gridSpan w:val="6"/>
            <w:vMerge w:val="restart"/>
            <w:tcBorders>
              <w:top w:val="nil"/>
              <w:left w:val="nil"/>
              <w:bottom w:val="nil"/>
              <w:right w:val="nil"/>
            </w:tcBorders>
            <w:shd w:val="clear" w:color="auto" w:fill="auto"/>
            <w:noWrap/>
            <w:vAlign w:val="center"/>
          </w:tcPr>
          <w:p w14:paraId="34254AE3">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56"/>
                <w:szCs w:val="56"/>
                <w:highlight w:val="none"/>
                <w:u w:val="none"/>
              </w:rPr>
            </w:pPr>
            <w:r>
              <w:rPr>
                <w:rFonts w:hint="eastAsia" w:ascii="仿宋_GB2312" w:hAnsi="仿宋_GB2312" w:eastAsia="仿宋_GB2312" w:cs="仿宋_GB2312"/>
                <w:i w:val="0"/>
                <w:iCs w:val="0"/>
                <w:snapToGrid w:val="0"/>
                <w:color w:val="000000"/>
                <w:kern w:val="0"/>
                <w:sz w:val="56"/>
                <w:szCs w:val="56"/>
                <w:highlight w:val="none"/>
                <w:u w:val="none"/>
                <w:lang w:val="en-US" w:eastAsia="zh-CN" w:bidi="ar"/>
              </w:rPr>
              <w:t>概　要</w:t>
            </w:r>
          </w:p>
        </w:tc>
      </w:tr>
      <w:tr w14:paraId="343B7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trPr>
        <w:tc>
          <w:tcPr>
            <w:tcW w:w="8899" w:type="dxa"/>
            <w:gridSpan w:val="6"/>
            <w:vMerge w:val="continue"/>
            <w:tcBorders>
              <w:top w:val="nil"/>
              <w:left w:val="nil"/>
              <w:bottom w:val="nil"/>
              <w:right w:val="nil"/>
            </w:tcBorders>
            <w:shd w:val="clear" w:color="auto" w:fill="auto"/>
            <w:noWrap/>
            <w:vAlign w:val="center"/>
          </w:tcPr>
          <w:p w14:paraId="509D4C58">
            <w:pPr>
              <w:jc w:val="center"/>
              <w:rPr>
                <w:rFonts w:hint="eastAsia" w:ascii="仿宋_GB2312" w:hAnsi="仿宋_GB2312" w:eastAsia="仿宋_GB2312" w:cs="仿宋_GB2312"/>
                <w:i w:val="0"/>
                <w:iCs w:val="0"/>
                <w:color w:val="000000"/>
                <w:sz w:val="56"/>
                <w:szCs w:val="56"/>
                <w:highlight w:val="none"/>
                <w:u w:val="none"/>
              </w:rPr>
            </w:pPr>
          </w:p>
        </w:tc>
      </w:tr>
      <w:tr w14:paraId="20FA4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6742" w:type="dxa"/>
            <w:gridSpan w:val="5"/>
            <w:tcBorders>
              <w:top w:val="nil"/>
              <w:left w:val="nil"/>
              <w:bottom w:val="single" w:color="auto" w:sz="4" w:space="0"/>
              <w:right w:val="nil"/>
            </w:tcBorders>
            <w:shd w:val="clear" w:color="auto" w:fill="auto"/>
            <w:noWrap/>
            <w:vAlign w:val="center"/>
          </w:tcPr>
          <w:p w14:paraId="2EFA644B">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snapToGrid w:val="0"/>
                <w:color w:val="000000"/>
                <w:kern w:val="0"/>
                <w:sz w:val="22"/>
                <w:szCs w:val="22"/>
                <w:highlight w:val="none"/>
                <w:u w:val="none"/>
                <w:lang w:val="en-US" w:eastAsia="zh-CN" w:bidi="ar"/>
              </w:rPr>
              <w:t>评价机构全称：北京上计会计师事务所</w:t>
            </w:r>
          </w:p>
        </w:tc>
        <w:tc>
          <w:tcPr>
            <w:tcW w:w="2157" w:type="dxa"/>
            <w:tcBorders>
              <w:top w:val="nil"/>
              <w:left w:val="nil"/>
              <w:bottom w:val="single" w:color="auto" w:sz="4" w:space="0"/>
              <w:right w:val="nil"/>
            </w:tcBorders>
            <w:shd w:val="clear" w:color="auto" w:fill="auto"/>
            <w:noWrap/>
            <w:vAlign w:val="center"/>
          </w:tcPr>
          <w:p w14:paraId="436ED88E">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snapToGrid w:val="0"/>
                <w:color w:val="000000"/>
                <w:kern w:val="0"/>
                <w:sz w:val="22"/>
                <w:szCs w:val="22"/>
                <w:highlight w:val="none"/>
                <w:u w:val="none"/>
                <w:lang w:val="en-US" w:eastAsia="zh-CN" w:bidi="ar"/>
              </w:rPr>
              <w:t>单位：万元、个</w:t>
            </w:r>
          </w:p>
        </w:tc>
      </w:tr>
      <w:tr w14:paraId="5DAD2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2" w:hRule="atLeast"/>
        </w:trPr>
        <w:tc>
          <w:tcPr>
            <w:tcW w:w="15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69DEA7">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snapToGrid w:val="0"/>
                <w:color w:val="000000"/>
                <w:kern w:val="0"/>
                <w:sz w:val="22"/>
                <w:szCs w:val="22"/>
                <w:highlight w:val="none"/>
                <w:u w:val="none"/>
                <w:lang w:val="en-US" w:eastAsia="zh-CN" w:bidi="ar"/>
              </w:rPr>
              <w:t>项目名称</w:t>
            </w:r>
          </w:p>
        </w:tc>
        <w:tc>
          <w:tcPr>
            <w:tcW w:w="355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7E0BFBF">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sz w:val="22"/>
                <w:szCs w:val="22"/>
                <w:highlight w:val="none"/>
                <w:u w:val="none"/>
              </w:rPr>
              <w:t>A2024-061、A2024-062、A2024-063、A2024-064、A2024-065克拉玛依区老旧电梯更新改造项目</w:t>
            </w:r>
          </w:p>
        </w:tc>
        <w:tc>
          <w:tcPr>
            <w:tcW w:w="15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DF50B2">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snapToGrid w:val="0"/>
                <w:color w:val="000000"/>
                <w:kern w:val="0"/>
                <w:sz w:val="22"/>
                <w:szCs w:val="22"/>
                <w:highlight w:val="none"/>
                <w:u w:val="none"/>
                <w:lang w:val="en-US" w:eastAsia="zh-CN" w:bidi="ar"/>
              </w:rPr>
              <w:t>评价年度</w:t>
            </w:r>
          </w:p>
        </w:tc>
        <w:tc>
          <w:tcPr>
            <w:tcW w:w="21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FBBA39">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snapToGrid w:val="0"/>
                <w:color w:val="000000"/>
                <w:kern w:val="0"/>
                <w:sz w:val="22"/>
                <w:szCs w:val="22"/>
                <w:highlight w:val="none"/>
                <w:u w:val="none"/>
                <w:lang w:val="en-US" w:eastAsia="zh-CN" w:bidi="ar"/>
              </w:rPr>
              <w:t>2024年度</w:t>
            </w:r>
          </w:p>
        </w:tc>
      </w:tr>
      <w:tr w14:paraId="230A8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5" w:hRule="atLeast"/>
        </w:trPr>
        <w:tc>
          <w:tcPr>
            <w:tcW w:w="15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7049D4">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snapToGrid w:val="0"/>
                <w:color w:val="000000"/>
                <w:kern w:val="0"/>
                <w:sz w:val="22"/>
                <w:szCs w:val="22"/>
                <w:highlight w:val="none"/>
                <w:u w:val="none"/>
                <w:lang w:val="en-US" w:eastAsia="zh-CN" w:bidi="ar"/>
              </w:rPr>
              <w:t>项目主管科室</w:t>
            </w:r>
          </w:p>
        </w:tc>
        <w:tc>
          <w:tcPr>
            <w:tcW w:w="355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BDF8851">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2"/>
                <w:szCs w:val="22"/>
                <w:highlight w:val="none"/>
                <w:u w:val="none"/>
                <w:lang w:val="en-US" w:eastAsia="zh-CN"/>
              </w:rPr>
            </w:pPr>
            <w:r>
              <w:rPr>
                <w:rFonts w:hint="eastAsia" w:ascii="仿宋_GB2312" w:hAnsi="仿宋_GB2312" w:eastAsia="仿宋_GB2312" w:cs="仿宋_GB2312"/>
                <w:i w:val="0"/>
                <w:iCs w:val="0"/>
                <w:color w:val="000000"/>
                <w:sz w:val="22"/>
                <w:szCs w:val="22"/>
                <w:highlight w:val="none"/>
                <w:u w:val="none"/>
                <w:lang w:val="en-US" w:eastAsia="zh-CN"/>
              </w:rPr>
              <w:t>克拉玛依区住房和城乡建设局</w:t>
            </w:r>
          </w:p>
        </w:tc>
        <w:tc>
          <w:tcPr>
            <w:tcW w:w="15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A44AA7">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snapToGrid w:val="0"/>
                <w:color w:val="000000"/>
                <w:kern w:val="0"/>
                <w:sz w:val="22"/>
                <w:szCs w:val="22"/>
                <w:highlight w:val="none"/>
                <w:u w:val="none"/>
                <w:lang w:val="en-US" w:eastAsia="zh-CN" w:bidi="ar"/>
              </w:rPr>
              <w:t>联系人及联系方式</w:t>
            </w:r>
          </w:p>
        </w:tc>
        <w:tc>
          <w:tcPr>
            <w:tcW w:w="21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F50302">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p>
        </w:tc>
      </w:tr>
      <w:tr w14:paraId="19B31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5" w:hRule="atLeast"/>
        </w:trPr>
        <w:tc>
          <w:tcPr>
            <w:tcW w:w="15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F38C78">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snapToGrid w:val="0"/>
                <w:color w:val="000000"/>
                <w:kern w:val="0"/>
                <w:sz w:val="22"/>
                <w:szCs w:val="22"/>
                <w:highlight w:val="none"/>
                <w:u w:val="none"/>
                <w:lang w:val="en-US" w:eastAsia="zh-CN" w:bidi="ar"/>
              </w:rPr>
              <w:t>项目主管部门</w:t>
            </w:r>
          </w:p>
        </w:tc>
        <w:tc>
          <w:tcPr>
            <w:tcW w:w="355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FC1C3D8">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sz w:val="22"/>
                <w:szCs w:val="22"/>
                <w:highlight w:val="none"/>
                <w:u w:val="none"/>
                <w:lang w:val="en-US" w:eastAsia="zh-CN"/>
              </w:rPr>
              <w:t>克拉玛依区住房和城乡建设局</w:t>
            </w:r>
          </w:p>
        </w:tc>
        <w:tc>
          <w:tcPr>
            <w:tcW w:w="15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ED7F5A">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snapToGrid w:val="0"/>
                <w:color w:val="000000"/>
                <w:kern w:val="0"/>
                <w:sz w:val="22"/>
                <w:szCs w:val="22"/>
                <w:highlight w:val="none"/>
                <w:u w:val="none"/>
                <w:lang w:val="en-US" w:eastAsia="zh-CN" w:bidi="ar"/>
              </w:rPr>
              <w:t>联系人及联系方式</w:t>
            </w:r>
          </w:p>
        </w:tc>
        <w:tc>
          <w:tcPr>
            <w:tcW w:w="21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DD915C">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p>
        </w:tc>
      </w:tr>
      <w:tr w14:paraId="59C36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5" w:hRule="atLeast"/>
        </w:trPr>
        <w:tc>
          <w:tcPr>
            <w:tcW w:w="15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325D5B">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snapToGrid w:val="0"/>
                <w:color w:val="000000"/>
                <w:kern w:val="0"/>
                <w:sz w:val="22"/>
                <w:szCs w:val="22"/>
                <w:highlight w:val="none"/>
                <w:u w:val="none"/>
                <w:lang w:val="en-US" w:eastAsia="zh-CN" w:bidi="ar"/>
              </w:rPr>
              <w:t>自评方式</w:t>
            </w:r>
          </w:p>
        </w:tc>
        <w:tc>
          <w:tcPr>
            <w:tcW w:w="12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A8F2D5">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snapToGrid w:val="0"/>
                <w:color w:val="000000"/>
                <w:kern w:val="0"/>
                <w:sz w:val="22"/>
                <w:szCs w:val="22"/>
                <w:highlight w:val="none"/>
                <w:u w:val="none"/>
                <w:lang w:val="en-US" w:eastAsia="zh-CN" w:bidi="ar"/>
              </w:rPr>
              <w:t>2024年度项目自评表</w:t>
            </w:r>
          </w:p>
        </w:tc>
        <w:tc>
          <w:tcPr>
            <w:tcW w:w="1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687E31">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snapToGrid w:val="0"/>
                <w:color w:val="000000"/>
                <w:kern w:val="0"/>
                <w:sz w:val="22"/>
                <w:szCs w:val="22"/>
                <w:highlight w:val="none"/>
                <w:u w:val="none"/>
                <w:lang w:val="en-US" w:eastAsia="zh-CN" w:bidi="ar"/>
              </w:rPr>
              <w:t>自评分值</w:t>
            </w:r>
          </w:p>
        </w:tc>
        <w:tc>
          <w:tcPr>
            <w:tcW w:w="8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309FD3">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2"/>
                <w:szCs w:val="22"/>
                <w:highlight w:val="none"/>
                <w:u w:val="none"/>
                <w:lang w:val="en-US" w:eastAsia="zh-CN"/>
              </w:rPr>
            </w:pPr>
            <w:r>
              <w:rPr>
                <w:rFonts w:hint="eastAsia" w:ascii="仿宋_GB2312" w:hAnsi="仿宋_GB2312" w:eastAsia="仿宋_GB2312" w:cs="仿宋_GB2312"/>
                <w:i w:val="0"/>
                <w:iCs w:val="0"/>
                <w:color w:val="000000"/>
                <w:sz w:val="22"/>
                <w:szCs w:val="22"/>
                <w:highlight w:val="none"/>
                <w:u w:val="none"/>
                <w:lang w:val="en-US" w:eastAsia="zh-CN"/>
              </w:rPr>
              <w:t>100</w:t>
            </w:r>
          </w:p>
        </w:tc>
        <w:tc>
          <w:tcPr>
            <w:tcW w:w="15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3A58F1">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snapToGrid w:val="0"/>
                <w:color w:val="000000"/>
                <w:kern w:val="0"/>
                <w:sz w:val="22"/>
                <w:szCs w:val="22"/>
                <w:highlight w:val="none"/>
                <w:u w:val="none"/>
                <w:lang w:val="en-US" w:eastAsia="zh-CN" w:bidi="ar"/>
              </w:rPr>
              <w:t>自评等级</w:t>
            </w:r>
          </w:p>
        </w:tc>
        <w:tc>
          <w:tcPr>
            <w:tcW w:w="21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5F0205">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snapToGrid w:val="0"/>
                <w:color w:val="000000"/>
                <w:kern w:val="0"/>
                <w:sz w:val="22"/>
                <w:szCs w:val="22"/>
                <w:highlight w:val="none"/>
                <w:u w:val="none"/>
                <w:lang w:val="en-US" w:eastAsia="zh-CN" w:bidi="ar"/>
              </w:rPr>
              <w:t>优秀</w:t>
            </w:r>
          </w:p>
        </w:tc>
      </w:tr>
      <w:tr w14:paraId="68554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7" w:hRule="atLeast"/>
        </w:trPr>
        <w:tc>
          <w:tcPr>
            <w:tcW w:w="15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2367EC">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snapToGrid w:val="0"/>
                <w:color w:val="000000"/>
                <w:kern w:val="0"/>
                <w:sz w:val="22"/>
                <w:szCs w:val="22"/>
                <w:highlight w:val="none"/>
                <w:u w:val="none"/>
                <w:lang w:val="en-US" w:eastAsia="zh-CN" w:bidi="ar"/>
              </w:rPr>
              <w:t>资金拨付数</w:t>
            </w:r>
          </w:p>
        </w:tc>
        <w:tc>
          <w:tcPr>
            <w:tcW w:w="12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D2F37C">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2"/>
                <w:szCs w:val="22"/>
                <w:highlight w:val="none"/>
                <w:u w:val="none"/>
                <w:lang w:val="en-US" w:eastAsia="zh-CN"/>
              </w:rPr>
            </w:pPr>
            <w:r>
              <w:rPr>
                <w:rFonts w:hint="eastAsia" w:ascii="仿宋_GB2312" w:hAnsi="仿宋_GB2312" w:eastAsia="仿宋_GB2312" w:cs="仿宋_GB2312"/>
                <w:i w:val="0"/>
                <w:iCs w:val="0"/>
                <w:color w:val="000000"/>
                <w:sz w:val="22"/>
                <w:szCs w:val="22"/>
                <w:highlight w:val="none"/>
                <w:u w:val="none"/>
                <w:lang w:val="en-US" w:eastAsia="zh-CN"/>
              </w:rPr>
              <w:t>390</w:t>
            </w:r>
          </w:p>
        </w:tc>
        <w:tc>
          <w:tcPr>
            <w:tcW w:w="1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E59060">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snapToGrid w:val="0"/>
                <w:color w:val="000000"/>
                <w:kern w:val="0"/>
                <w:sz w:val="22"/>
                <w:szCs w:val="22"/>
                <w:highlight w:val="none"/>
                <w:u w:val="none"/>
                <w:lang w:val="en-US" w:eastAsia="zh-CN" w:bidi="ar"/>
              </w:rPr>
              <w:t>资金抽查数</w:t>
            </w:r>
          </w:p>
        </w:tc>
        <w:tc>
          <w:tcPr>
            <w:tcW w:w="8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1CD37C">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2"/>
                <w:szCs w:val="22"/>
                <w:highlight w:val="none"/>
                <w:u w:val="none"/>
                <w:lang w:val="en-US" w:eastAsia="zh-CN"/>
              </w:rPr>
            </w:pPr>
            <w:r>
              <w:rPr>
                <w:rFonts w:hint="eastAsia" w:ascii="仿宋_GB2312" w:hAnsi="仿宋_GB2312" w:eastAsia="仿宋_GB2312" w:cs="仿宋_GB2312"/>
                <w:i w:val="0"/>
                <w:iCs w:val="0"/>
                <w:color w:val="000000"/>
                <w:sz w:val="22"/>
                <w:szCs w:val="22"/>
                <w:highlight w:val="none"/>
                <w:u w:val="none"/>
                <w:lang w:val="en-US" w:eastAsia="zh-CN"/>
              </w:rPr>
              <w:t>390</w:t>
            </w:r>
          </w:p>
        </w:tc>
        <w:tc>
          <w:tcPr>
            <w:tcW w:w="15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B4A7E1">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snapToGrid w:val="0"/>
                <w:color w:val="000000"/>
                <w:kern w:val="0"/>
                <w:sz w:val="22"/>
                <w:szCs w:val="22"/>
                <w:highlight w:val="none"/>
                <w:u w:val="none"/>
                <w:lang w:val="en-US" w:eastAsia="zh-CN" w:bidi="ar"/>
              </w:rPr>
              <w:t>资金抽查占比</w:t>
            </w:r>
          </w:p>
        </w:tc>
        <w:tc>
          <w:tcPr>
            <w:tcW w:w="21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E5B79A">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snapToGrid w:val="0"/>
                <w:color w:val="000000"/>
                <w:kern w:val="0"/>
                <w:sz w:val="22"/>
                <w:szCs w:val="22"/>
                <w:highlight w:val="none"/>
                <w:u w:val="none"/>
                <w:lang w:val="en-US" w:eastAsia="zh-CN" w:bidi="ar"/>
              </w:rPr>
              <w:t>100%</w:t>
            </w:r>
          </w:p>
        </w:tc>
      </w:tr>
      <w:tr w14:paraId="6DBAF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5" w:hRule="atLeast"/>
        </w:trPr>
        <w:tc>
          <w:tcPr>
            <w:tcW w:w="15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86437F">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snapToGrid w:val="0"/>
                <w:color w:val="000000"/>
                <w:kern w:val="0"/>
                <w:sz w:val="22"/>
                <w:szCs w:val="22"/>
                <w:highlight w:val="none"/>
                <w:u w:val="none"/>
                <w:lang w:val="en-US" w:eastAsia="zh-CN" w:bidi="ar"/>
              </w:rPr>
              <w:t>项目类别</w:t>
            </w:r>
          </w:p>
        </w:tc>
        <w:tc>
          <w:tcPr>
            <w:tcW w:w="12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E3BD9B">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snapToGrid w:val="0"/>
                <w:color w:val="000000"/>
                <w:kern w:val="0"/>
                <w:sz w:val="22"/>
                <w:szCs w:val="22"/>
                <w:highlight w:val="none"/>
                <w:u w:val="none"/>
                <w:lang w:val="en-US" w:eastAsia="zh-CN" w:bidi="ar"/>
              </w:rPr>
              <w:t>工程建设类</w:t>
            </w:r>
          </w:p>
        </w:tc>
        <w:tc>
          <w:tcPr>
            <w:tcW w:w="1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73E887">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snapToGrid w:val="0"/>
                <w:color w:val="000000"/>
                <w:kern w:val="0"/>
                <w:sz w:val="22"/>
                <w:szCs w:val="22"/>
                <w:highlight w:val="none"/>
                <w:u w:val="none"/>
                <w:lang w:val="en-US" w:eastAsia="zh-CN" w:bidi="ar"/>
              </w:rPr>
              <w:t>抽查类别</w:t>
            </w:r>
          </w:p>
        </w:tc>
        <w:tc>
          <w:tcPr>
            <w:tcW w:w="8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53AAC6">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snapToGrid w:val="0"/>
                <w:color w:val="000000"/>
                <w:kern w:val="0"/>
                <w:sz w:val="22"/>
                <w:szCs w:val="22"/>
                <w:highlight w:val="none"/>
                <w:u w:val="none"/>
                <w:lang w:val="en-US" w:eastAsia="zh-CN" w:bidi="ar"/>
              </w:rPr>
              <w:t>工程建设类</w:t>
            </w:r>
          </w:p>
        </w:tc>
        <w:tc>
          <w:tcPr>
            <w:tcW w:w="15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6416AB">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snapToGrid w:val="0"/>
                <w:color w:val="000000"/>
                <w:kern w:val="0"/>
                <w:sz w:val="22"/>
                <w:szCs w:val="22"/>
                <w:highlight w:val="none"/>
                <w:u w:val="none"/>
                <w:lang w:val="en-US" w:eastAsia="zh-CN" w:bidi="ar"/>
              </w:rPr>
              <w:t>类别抽查占比</w:t>
            </w:r>
          </w:p>
        </w:tc>
        <w:tc>
          <w:tcPr>
            <w:tcW w:w="21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A7A345">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snapToGrid w:val="0"/>
                <w:color w:val="000000"/>
                <w:kern w:val="0"/>
                <w:sz w:val="22"/>
                <w:szCs w:val="22"/>
                <w:highlight w:val="none"/>
                <w:u w:val="none"/>
                <w:lang w:val="en-US" w:eastAsia="zh-CN" w:bidi="ar"/>
              </w:rPr>
              <w:t>100%</w:t>
            </w:r>
          </w:p>
        </w:tc>
      </w:tr>
      <w:tr w14:paraId="2B0A2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7" w:hRule="atLeast"/>
        </w:trPr>
        <w:tc>
          <w:tcPr>
            <w:tcW w:w="15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817FC7">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snapToGrid w:val="0"/>
                <w:color w:val="000000"/>
                <w:kern w:val="0"/>
                <w:sz w:val="22"/>
                <w:szCs w:val="22"/>
                <w:highlight w:val="none"/>
                <w:u w:val="none"/>
                <w:lang w:val="en-US" w:eastAsia="zh-CN" w:bidi="ar"/>
              </w:rPr>
              <w:t>项目数量</w:t>
            </w:r>
          </w:p>
        </w:tc>
        <w:tc>
          <w:tcPr>
            <w:tcW w:w="12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867322">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snapToGrid w:val="0"/>
                <w:color w:val="000000"/>
                <w:kern w:val="0"/>
                <w:sz w:val="22"/>
                <w:szCs w:val="22"/>
                <w:highlight w:val="none"/>
                <w:u w:val="none"/>
                <w:lang w:val="en-US" w:eastAsia="zh-CN" w:bidi="ar"/>
              </w:rPr>
              <w:t>5</w:t>
            </w:r>
          </w:p>
        </w:tc>
        <w:tc>
          <w:tcPr>
            <w:tcW w:w="1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A43C9C">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snapToGrid w:val="0"/>
                <w:color w:val="000000"/>
                <w:kern w:val="0"/>
                <w:sz w:val="22"/>
                <w:szCs w:val="22"/>
                <w:highlight w:val="none"/>
                <w:u w:val="none"/>
                <w:lang w:val="en-US" w:eastAsia="zh-CN" w:bidi="ar"/>
              </w:rPr>
              <w:t>抽查项目数</w:t>
            </w:r>
          </w:p>
        </w:tc>
        <w:tc>
          <w:tcPr>
            <w:tcW w:w="8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B3CFDA">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snapToGrid w:val="0"/>
                <w:color w:val="000000"/>
                <w:kern w:val="0"/>
                <w:sz w:val="22"/>
                <w:szCs w:val="22"/>
                <w:highlight w:val="none"/>
                <w:u w:val="none"/>
                <w:lang w:val="en-US" w:eastAsia="zh-CN" w:bidi="ar"/>
              </w:rPr>
              <w:t>5</w:t>
            </w:r>
          </w:p>
        </w:tc>
        <w:tc>
          <w:tcPr>
            <w:tcW w:w="15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746B89">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snapToGrid w:val="0"/>
                <w:color w:val="000000"/>
                <w:kern w:val="0"/>
                <w:sz w:val="22"/>
                <w:szCs w:val="22"/>
                <w:highlight w:val="none"/>
                <w:u w:val="none"/>
                <w:lang w:val="en-US" w:eastAsia="zh-CN" w:bidi="ar"/>
              </w:rPr>
              <w:t>项目抽查占比</w:t>
            </w:r>
          </w:p>
        </w:tc>
        <w:tc>
          <w:tcPr>
            <w:tcW w:w="21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F83868">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snapToGrid w:val="0"/>
                <w:color w:val="000000"/>
                <w:kern w:val="0"/>
                <w:sz w:val="22"/>
                <w:szCs w:val="22"/>
                <w:highlight w:val="none"/>
                <w:u w:val="none"/>
                <w:lang w:val="en-US" w:eastAsia="zh-CN" w:bidi="ar"/>
              </w:rPr>
              <w:t>100%</w:t>
            </w:r>
          </w:p>
        </w:tc>
      </w:tr>
      <w:tr w14:paraId="1A3F4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5" w:hRule="atLeast"/>
        </w:trPr>
        <w:tc>
          <w:tcPr>
            <w:tcW w:w="15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6B43FC">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snapToGrid w:val="0"/>
                <w:color w:val="000000"/>
                <w:kern w:val="0"/>
                <w:sz w:val="22"/>
                <w:szCs w:val="22"/>
                <w:highlight w:val="none"/>
                <w:u w:val="none"/>
                <w:lang w:val="en-US" w:eastAsia="zh-CN" w:bidi="ar"/>
              </w:rPr>
              <w:t>涉及市县数或项目点</w:t>
            </w:r>
          </w:p>
        </w:tc>
        <w:tc>
          <w:tcPr>
            <w:tcW w:w="12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E77DDA">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snapToGrid w:val="0"/>
                <w:color w:val="000000"/>
                <w:kern w:val="0"/>
                <w:sz w:val="22"/>
                <w:szCs w:val="22"/>
                <w:highlight w:val="none"/>
                <w:u w:val="none"/>
                <w:lang w:val="en-US" w:eastAsia="zh-CN" w:bidi="ar"/>
              </w:rPr>
              <w:t>8</w:t>
            </w:r>
          </w:p>
        </w:tc>
        <w:tc>
          <w:tcPr>
            <w:tcW w:w="1447" w:type="dxa"/>
            <w:tcBorders>
              <w:top w:val="single" w:color="auto" w:sz="4" w:space="0"/>
              <w:left w:val="single" w:color="auto" w:sz="4" w:space="0"/>
              <w:bottom w:val="single" w:color="auto" w:sz="4" w:space="0"/>
              <w:right w:val="single" w:color="auto" w:sz="4" w:space="0"/>
            </w:tcBorders>
            <w:shd w:val="clear" w:color="auto" w:fill="auto"/>
            <w:vAlign w:val="center"/>
          </w:tcPr>
          <w:p w14:paraId="0F47A8B1">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snapToGrid w:val="0"/>
                <w:color w:val="000000"/>
                <w:kern w:val="0"/>
                <w:sz w:val="22"/>
                <w:szCs w:val="22"/>
                <w:highlight w:val="none"/>
                <w:u w:val="none"/>
                <w:lang w:val="en-US" w:eastAsia="zh-CN" w:bidi="ar"/>
              </w:rPr>
              <w:t>抽查市县数或项目点</w:t>
            </w:r>
          </w:p>
        </w:tc>
        <w:tc>
          <w:tcPr>
            <w:tcW w:w="8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FCBBD1">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snapToGrid w:val="0"/>
                <w:color w:val="000000"/>
                <w:kern w:val="0"/>
                <w:sz w:val="22"/>
                <w:szCs w:val="22"/>
                <w:highlight w:val="none"/>
                <w:u w:val="none"/>
                <w:lang w:val="en-US" w:eastAsia="zh-CN" w:bidi="ar"/>
              </w:rPr>
              <w:t>8</w:t>
            </w:r>
          </w:p>
        </w:tc>
        <w:tc>
          <w:tcPr>
            <w:tcW w:w="15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7F2C96">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snapToGrid w:val="0"/>
                <w:color w:val="000000"/>
                <w:kern w:val="0"/>
                <w:sz w:val="22"/>
                <w:szCs w:val="22"/>
                <w:highlight w:val="none"/>
                <w:u w:val="none"/>
                <w:lang w:val="en-US" w:eastAsia="zh-CN" w:bidi="ar"/>
              </w:rPr>
              <w:t>抽查区域</w:t>
            </w:r>
          </w:p>
        </w:tc>
        <w:tc>
          <w:tcPr>
            <w:tcW w:w="21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C00422">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snapToGrid w:val="0"/>
                <w:color w:val="000000"/>
                <w:kern w:val="0"/>
                <w:sz w:val="22"/>
                <w:szCs w:val="22"/>
                <w:highlight w:val="none"/>
                <w:u w:val="none"/>
                <w:lang w:val="en-US" w:eastAsia="zh-CN" w:bidi="ar"/>
              </w:rPr>
              <w:t>克拉玛依区</w:t>
            </w:r>
          </w:p>
        </w:tc>
      </w:tr>
      <w:tr w14:paraId="08E85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7" w:hRule="atLeast"/>
        </w:trPr>
        <w:tc>
          <w:tcPr>
            <w:tcW w:w="15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5AA771">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snapToGrid w:val="0"/>
                <w:color w:val="000000"/>
                <w:kern w:val="0"/>
                <w:sz w:val="22"/>
                <w:szCs w:val="22"/>
                <w:highlight w:val="none"/>
                <w:u w:val="none"/>
                <w:lang w:val="en-US" w:eastAsia="zh-CN" w:bidi="ar"/>
              </w:rPr>
              <w:t>发放调查问券</w:t>
            </w:r>
          </w:p>
        </w:tc>
        <w:tc>
          <w:tcPr>
            <w:tcW w:w="12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4A5640">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2"/>
                <w:szCs w:val="22"/>
                <w:highlight w:val="none"/>
                <w:u w:val="none"/>
                <w:lang w:val="en-US" w:eastAsia="zh-CN"/>
              </w:rPr>
            </w:pPr>
            <w:r>
              <w:rPr>
                <w:rFonts w:hint="eastAsia" w:ascii="仿宋_GB2312" w:hAnsi="仿宋_GB2312" w:eastAsia="仿宋_GB2312" w:cs="仿宋_GB2312"/>
                <w:i w:val="0"/>
                <w:iCs w:val="0"/>
                <w:color w:val="000000"/>
                <w:sz w:val="22"/>
                <w:szCs w:val="22"/>
                <w:highlight w:val="none"/>
                <w:u w:val="none"/>
                <w:lang w:val="en-US" w:eastAsia="zh-CN"/>
              </w:rPr>
              <w:t>104</w:t>
            </w:r>
          </w:p>
        </w:tc>
        <w:tc>
          <w:tcPr>
            <w:tcW w:w="1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CB1E93">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snapToGrid w:val="0"/>
                <w:color w:val="000000"/>
                <w:kern w:val="0"/>
                <w:sz w:val="22"/>
                <w:szCs w:val="22"/>
                <w:highlight w:val="none"/>
                <w:u w:val="none"/>
                <w:lang w:val="en-US" w:eastAsia="zh-CN" w:bidi="ar"/>
              </w:rPr>
              <w:t>有效调查问卷</w:t>
            </w:r>
          </w:p>
        </w:tc>
        <w:tc>
          <w:tcPr>
            <w:tcW w:w="8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281BDB">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2"/>
                <w:szCs w:val="22"/>
                <w:highlight w:val="none"/>
                <w:u w:val="none"/>
                <w:lang w:val="en-US" w:eastAsia="zh-CN"/>
              </w:rPr>
            </w:pPr>
            <w:r>
              <w:rPr>
                <w:rFonts w:hint="eastAsia" w:ascii="仿宋_GB2312" w:hAnsi="仿宋_GB2312" w:eastAsia="仿宋_GB2312" w:cs="仿宋_GB2312"/>
                <w:i w:val="0"/>
                <w:iCs w:val="0"/>
                <w:color w:val="000000"/>
                <w:sz w:val="22"/>
                <w:szCs w:val="22"/>
                <w:highlight w:val="none"/>
                <w:u w:val="none"/>
                <w:lang w:val="en-US" w:eastAsia="zh-CN"/>
              </w:rPr>
              <w:t>104</w:t>
            </w:r>
          </w:p>
        </w:tc>
        <w:tc>
          <w:tcPr>
            <w:tcW w:w="15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196D14">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snapToGrid w:val="0"/>
                <w:color w:val="000000"/>
                <w:kern w:val="0"/>
                <w:sz w:val="22"/>
                <w:szCs w:val="22"/>
                <w:highlight w:val="none"/>
                <w:u w:val="none"/>
                <w:lang w:val="en-US" w:eastAsia="zh-CN" w:bidi="ar"/>
              </w:rPr>
              <w:t>满意度情况</w:t>
            </w:r>
          </w:p>
        </w:tc>
        <w:tc>
          <w:tcPr>
            <w:tcW w:w="21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BD4C05">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2"/>
                <w:szCs w:val="22"/>
                <w:highlight w:val="none"/>
                <w:u w:val="none"/>
                <w:lang w:val="en-US" w:eastAsia="zh-CN"/>
              </w:rPr>
            </w:pPr>
            <w:r>
              <w:rPr>
                <w:rFonts w:hint="eastAsia" w:ascii="仿宋_GB2312" w:hAnsi="仿宋_GB2312" w:eastAsia="仿宋_GB2312" w:cs="仿宋_GB2312"/>
                <w:i w:val="0"/>
                <w:iCs w:val="0"/>
                <w:color w:val="000000"/>
                <w:sz w:val="22"/>
                <w:szCs w:val="22"/>
                <w:highlight w:val="none"/>
                <w:u w:val="none"/>
                <w:lang w:val="en-US" w:eastAsia="zh-CN"/>
              </w:rPr>
              <w:t>9</w:t>
            </w:r>
            <w:r>
              <w:rPr>
                <w:rFonts w:hint="eastAsia" w:cs="仿宋_GB2312"/>
                <w:i w:val="0"/>
                <w:iCs w:val="0"/>
                <w:color w:val="000000"/>
                <w:sz w:val="22"/>
                <w:szCs w:val="22"/>
                <w:highlight w:val="none"/>
                <w:u w:val="none"/>
                <w:lang w:val="en-US" w:eastAsia="zh-CN"/>
              </w:rPr>
              <w:t>5</w:t>
            </w:r>
            <w:r>
              <w:rPr>
                <w:rFonts w:hint="eastAsia" w:ascii="仿宋_GB2312" w:hAnsi="仿宋_GB2312" w:eastAsia="仿宋_GB2312" w:cs="仿宋_GB2312"/>
                <w:i w:val="0"/>
                <w:iCs w:val="0"/>
                <w:color w:val="000000"/>
                <w:sz w:val="22"/>
                <w:szCs w:val="22"/>
                <w:highlight w:val="none"/>
                <w:u w:val="none"/>
                <w:lang w:val="en-US" w:eastAsia="zh-CN"/>
              </w:rPr>
              <w:t>%</w:t>
            </w:r>
          </w:p>
        </w:tc>
      </w:tr>
      <w:tr w14:paraId="4414E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59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CBE55FE">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snapToGrid w:val="0"/>
                <w:color w:val="000000"/>
                <w:kern w:val="0"/>
                <w:sz w:val="22"/>
                <w:szCs w:val="22"/>
                <w:highlight w:val="none"/>
                <w:u w:val="none"/>
                <w:lang w:val="en-US" w:eastAsia="zh-CN" w:bidi="ar"/>
              </w:rPr>
              <w:t>绩效评价总体情况</w:t>
            </w:r>
          </w:p>
        </w:tc>
        <w:tc>
          <w:tcPr>
            <w:tcW w:w="7306" w:type="dxa"/>
            <w:gridSpan w:val="5"/>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213C6C4">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sz w:val="22"/>
                <w:szCs w:val="22"/>
                <w:highlight w:val="none"/>
                <w:u w:val="none"/>
              </w:rPr>
              <w:t>2024年根据住建部、国家发展改革委、市场监管总局印发《关于请抓紧做好2024年住宅老旧电梯更新改造有关工作的通知》文件，克拉玛依区申请超长期国债390万元，对26部已办理使用登记、使用年限长、配置水平低、运行故障率高、群众更新改造意愿强烈的电梯更新改造。</w:t>
            </w:r>
          </w:p>
        </w:tc>
      </w:tr>
      <w:tr w14:paraId="44147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59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57F6253">
            <w:pPr>
              <w:jc w:val="center"/>
              <w:rPr>
                <w:rFonts w:hint="eastAsia" w:ascii="仿宋_GB2312" w:hAnsi="仿宋_GB2312" w:eastAsia="仿宋_GB2312" w:cs="仿宋_GB2312"/>
                <w:i w:val="0"/>
                <w:iCs w:val="0"/>
                <w:color w:val="000000"/>
                <w:sz w:val="22"/>
                <w:szCs w:val="22"/>
                <w:highlight w:val="none"/>
                <w:u w:val="none"/>
              </w:rPr>
            </w:pPr>
          </w:p>
        </w:tc>
        <w:tc>
          <w:tcPr>
            <w:tcW w:w="7306" w:type="dxa"/>
            <w:gridSpan w:val="5"/>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D149118">
            <w:pPr>
              <w:jc w:val="left"/>
              <w:rPr>
                <w:rFonts w:hint="eastAsia" w:ascii="仿宋_GB2312" w:hAnsi="仿宋_GB2312" w:eastAsia="仿宋_GB2312" w:cs="仿宋_GB2312"/>
                <w:i w:val="0"/>
                <w:iCs w:val="0"/>
                <w:color w:val="000000"/>
                <w:sz w:val="22"/>
                <w:szCs w:val="22"/>
                <w:highlight w:val="none"/>
                <w:u w:val="none"/>
              </w:rPr>
            </w:pPr>
          </w:p>
        </w:tc>
      </w:tr>
      <w:tr w14:paraId="2991C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0" w:hRule="atLeast"/>
        </w:trPr>
        <w:tc>
          <w:tcPr>
            <w:tcW w:w="159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7370988">
            <w:pPr>
              <w:jc w:val="center"/>
              <w:rPr>
                <w:rFonts w:hint="eastAsia" w:ascii="仿宋_GB2312" w:hAnsi="仿宋_GB2312" w:eastAsia="仿宋_GB2312" w:cs="仿宋_GB2312"/>
                <w:i w:val="0"/>
                <w:iCs w:val="0"/>
                <w:color w:val="000000"/>
                <w:sz w:val="22"/>
                <w:szCs w:val="22"/>
                <w:highlight w:val="none"/>
                <w:u w:val="none"/>
              </w:rPr>
            </w:pPr>
          </w:p>
        </w:tc>
        <w:tc>
          <w:tcPr>
            <w:tcW w:w="7306" w:type="dxa"/>
            <w:gridSpan w:val="5"/>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A330FE2">
            <w:pPr>
              <w:jc w:val="left"/>
              <w:rPr>
                <w:rFonts w:hint="eastAsia" w:ascii="仿宋_GB2312" w:hAnsi="仿宋_GB2312" w:eastAsia="仿宋_GB2312" w:cs="仿宋_GB2312"/>
                <w:i w:val="0"/>
                <w:iCs w:val="0"/>
                <w:color w:val="000000"/>
                <w:sz w:val="22"/>
                <w:szCs w:val="22"/>
                <w:highlight w:val="none"/>
                <w:u w:val="none"/>
              </w:rPr>
            </w:pPr>
          </w:p>
        </w:tc>
      </w:tr>
      <w:tr w14:paraId="2D78F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6" w:hRule="atLeast"/>
        </w:trPr>
        <w:tc>
          <w:tcPr>
            <w:tcW w:w="15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D94AE9">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snapToGrid w:val="0"/>
                <w:color w:val="000000"/>
                <w:kern w:val="0"/>
                <w:sz w:val="22"/>
                <w:szCs w:val="22"/>
                <w:highlight w:val="none"/>
                <w:u w:val="none"/>
                <w:lang w:val="en-US" w:eastAsia="zh-CN" w:bidi="ar"/>
              </w:rPr>
              <w:t>评价问题简要情况</w:t>
            </w:r>
          </w:p>
        </w:tc>
        <w:tc>
          <w:tcPr>
            <w:tcW w:w="7306"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6750299F">
            <w:pPr>
              <w:keepNext w:val="0"/>
              <w:keepLines w:val="0"/>
              <w:widowControl/>
              <w:numPr>
                <w:ilvl w:val="0"/>
                <w:numId w:val="2"/>
              </w:numPr>
              <w:suppressLineNumbers w:val="0"/>
              <w:ind w:left="0" w:leftChars="0" w:firstLine="0" w:firstLineChars="0"/>
              <w:jc w:val="left"/>
              <w:textAlignment w:val="center"/>
              <w:rPr>
                <w:rFonts w:hint="eastAsia" w:ascii="仿宋_GB2312" w:hAnsi="仿宋_GB2312" w:eastAsia="仿宋_GB2312" w:cs="仿宋_GB2312"/>
                <w:i w:val="0"/>
                <w:iCs w:val="0"/>
                <w:color w:val="auto"/>
                <w:sz w:val="22"/>
                <w:szCs w:val="22"/>
                <w:highlight w:val="none"/>
                <w:u w:val="none"/>
                <w:lang w:val="en-US" w:eastAsia="zh-CN"/>
              </w:rPr>
            </w:pPr>
            <w:r>
              <w:rPr>
                <w:rFonts w:hint="eastAsia" w:ascii="仿宋_GB2312" w:hAnsi="仿宋_GB2312" w:eastAsia="仿宋_GB2312" w:cs="仿宋_GB2312"/>
                <w:i w:val="0"/>
                <w:iCs w:val="0"/>
                <w:color w:val="auto"/>
                <w:sz w:val="22"/>
                <w:szCs w:val="22"/>
                <w:highlight w:val="none"/>
                <w:u w:val="none"/>
                <w:lang w:val="en-US" w:eastAsia="zh-CN"/>
              </w:rPr>
              <w:t>项目管理方面：1.计划工期与实际工期差距较大。</w:t>
            </w:r>
          </w:p>
          <w:p w14:paraId="1E38274A">
            <w:pPr>
              <w:keepNext w:val="0"/>
              <w:keepLines w:val="0"/>
              <w:widowControl/>
              <w:numPr>
                <w:ilvl w:val="0"/>
                <w:numId w:val="2"/>
              </w:numPr>
              <w:suppressLineNumbers w:val="0"/>
              <w:ind w:left="0" w:leftChars="0" w:firstLine="0" w:firstLineChars="0"/>
              <w:jc w:val="left"/>
              <w:textAlignment w:val="center"/>
              <w:rPr>
                <w:rFonts w:hint="eastAsia" w:ascii="仿宋_GB2312" w:hAnsi="仿宋_GB2312" w:eastAsia="仿宋_GB2312" w:cs="仿宋_GB2312"/>
                <w:i w:val="0"/>
                <w:iCs w:val="0"/>
                <w:color w:val="auto"/>
                <w:sz w:val="22"/>
                <w:szCs w:val="22"/>
                <w:highlight w:val="none"/>
                <w:u w:val="none"/>
                <w:lang w:val="en-US" w:eastAsia="zh-CN"/>
              </w:rPr>
            </w:pPr>
            <w:r>
              <w:rPr>
                <w:rFonts w:hint="eastAsia" w:ascii="仿宋_GB2312" w:hAnsi="仿宋_GB2312" w:eastAsia="仿宋_GB2312" w:cs="仿宋_GB2312"/>
                <w:i w:val="0"/>
                <w:iCs w:val="0"/>
                <w:color w:val="auto"/>
                <w:sz w:val="22"/>
                <w:szCs w:val="22"/>
                <w:highlight w:val="none"/>
                <w:u w:val="none"/>
                <w:lang w:val="en-US" w:eastAsia="zh-CN"/>
              </w:rPr>
              <w:t>绩效管理方面：1.项目绩效目标管理工作成熟度不足</w:t>
            </w:r>
          </w:p>
        </w:tc>
      </w:tr>
      <w:tr w14:paraId="1A592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6" w:hRule="atLeast"/>
        </w:trPr>
        <w:tc>
          <w:tcPr>
            <w:tcW w:w="15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A451AF">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snapToGrid w:val="0"/>
                <w:color w:val="000000"/>
                <w:kern w:val="0"/>
                <w:sz w:val="22"/>
                <w:szCs w:val="22"/>
                <w:highlight w:val="none"/>
                <w:u w:val="none"/>
                <w:lang w:val="en-US" w:eastAsia="zh-CN" w:bidi="ar"/>
              </w:rPr>
              <w:t>评价问题简要建议</w:t>
            </w:r>
          </w:p>
        </w:tc>
        <w:tc>
          <w:tcPr>
            <w:tcW w:w="7306"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36F8D1A4">
            <w:pPr>
              <w:keepNext w:val="0"/>
              <w:keepLines w:val="0"/>
              <w:widowControl/>
              <w:numPr>
                <w:ilvl w:val="0"/>
                <w:numId w:val="3"/>
              </w:numPr>
              <w:suppressLineNumbers w:val="0"/>
              <w:ind w:left="0" w:leftChars="0" w:firstLine="0" w:firstLineChars="0"/>
              <w:jc w:val="left"/>
              <w:textAlignment w:val="center"/>
              <w:rPr>
                <w:rFonts w:hint="eastAsia" w:ascii="仿宋_GB2312" w:hAnsi="仿宋_GB2312" w:eastAsia="仿宋_GB2312" w:cs="仿宋_GB2312"/>
                <w:i w:val="0"/>
                <w:iCs w:val="0"/>
                <w:color w:val="auto"/>
                <w:sz w:val="22"/>
                <w:szCs w:val="22"/>
                <w:highlight w:val="none"/>
                <w:u w:val="none"/>
                <w:lang w:val="en-US" w:eastAsia="zh-CN"/>
              </w:rPr>
            </w:pPr>
            <w:r>
              <w:rPr>
                <w:rFonts w:hint="eastAsia" w:ascii="仿宋_GB2312" w:hAnsi="仿宋_GB2312" w:eastAsia="仿宋_GB2312" w:cs="仿宋_GB2312"/>
                <w:i w:val="0"/>
                <w:iCs w:val="0"/>
                <w:color w:val="auto"/>
                <w:sz w:val="22"/>
                <w:szCs w:val="22"/>
                <w:highlight w:val="none"/>
                <w:u w:val="none"/>
                <w:lang w:val="en-US" w:eastAsia="zh-CN"/>
              </w:rPr>
              <w:t>项目管理方面：1.提升项目管理水平，确保项目进度。</w:t>
            </w:r>
          </w:p>
          <w:p w14:paraId="50B3048F">
            <w:pPr>
              <w:keepNext w:val="0"/>
              <w:keepLines w:val="0"/>
              <w:widowControl/>
              <w:numPr>
                <w:ilvl w:val="0"/>
                <w:numId w:val="3"/>
              </w:numPr>
              <w:suppressLineNumbers w:val="0"/>
              <w:ind w:left="0" w:leftChars="0" w:firstLine="0" w:firstLineChars="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lang w:val="en-US" w:eastAsia="zh-CN"/>
              </w:rPr>
              <w:t>绩效管理方面：1.加强绩效目标管理，提升绩效目标编制水平。</w:t>
            </w:r>
          </w:p>
        </w:tc>
      </w:tr>
      <w:tr w14:paraId="00484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20" w:hRule="atLeast"/>
        </w:trPr>
        <w:tc>
          <w:tcPr>
            <w:tcW w:w="1593" w:type="dxa"/>
            <w:tcBorders>
              <w:top w:val="single" w:color="auto" w:sz="4" w:space="0"/>
              <w:left w:val="single" w:color="auto" w:sz="4" w:space="0"/>
              <w:bottom w:val="single" w:color="auto" w:sz="4" w:space="0"/>
              <w:right w:val="single" w:color="auto" w:sz="4" w:space="0"/>
            </w:tcBorders>
            <w:shd w:val="clear" w:color="auto" w:fill="auto"/>
            <w:vAlign w:val="center"/>
          </w:tcPr>
          <w:p w14:paraId="61E815AF">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b w:val="0"/>
                <w:bCs w:val="0"/>
                <w:i w:val="0"/>
                <w:iCs w:val="0"/>
                <w:color w:val="000000"/>
                <w:sz w:val="22"/>
                <w:szCs w:val="22"/>
                <w:highlight w:val="none"/>
                <w:u w:val="none"/>
              </w:rPr>
            </w:pPr>
            <w:r>
              <w:rPr>
                <w:rFonts w:hint="eastAsia" w:ascii="仿宋_GB2312" w:hAnsi="仿宋_GB2312" w:eastAsia="仿宋_GB2312" w:cs="仿宋_GB2312"/>
                <w:b w:val="0"/>
                <w:bCs w:val="0"/>
                <w:i w:val="0"/>
                <w:iCs w:val="0"/>
                <w:snapToGrid w:val="0"/>
                <w:color w:val="000000"/>
                <w:kern w:val="0"/>
                <w:sz w:val="22"/>
                <w:szCs w:val="22"/>
                <w:highlight w:val="none"/>
                <w:u w:val="none"/>
                <w:lang w:val="en-US" w:eastAsia="zh-CN" w:bidi="ar"/>
              </w:rPr>
              <w:t>评价结果应用建议</w:t>
            </w:r>
          </w:p>
        </w:tc>
        <w:tc>
          <w:tcPr>
            <w:tcW w:w="7306"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954DB98">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sz w:val="22"/>
                <w:szCs w:val="22"/>
                <w:highlight w:val="none"/>
                <w:u w:val="none"/>
              </w:rPr>
              <w:t>本项目绩效评价结果为“</w:t>
            </w:r>
            <w:r>
              <w:rPr>
                <w:rFonts w:hint="eastAsia" w:cs="仿宋_GB2312"/>
                <w:i w:val="0"/>
                <w:iCs w:val="0"/>
                <w:color w:val="000000"/>
                <w:sz w:val="22"/>
                <w:szCs w:val="22"/>
                <w:highlight w:val="none"/>
                <w:u w:val="none"/>
                <w:lang w:val="en-US" w:eastAsia="zh-CN"/>
              </w:rPr>
              <w:t>优</w:t>
            </w:r>
            <w:r>
              <w:rPr>
                <w:rFonts w:hint="eastAsia" w:ascii="仿宋_GB2312" w:hAnsi="仿宋_GB2312" w:eastAsia="仿宋_GB2312" w:cs="仿宋_GB2312"/>
                <w:i w:val="0"/>
                <w:iCs w:val="0"/>
                <w:color w:val="000000"/>
                <w:sz w:val="22"/>
                <w:szCs w:val="22"/>
                <w:highlight w:val="none"/>
                <w:u w:val="none"/>
              </w:rPr>
              <w:t>”，从绩效管理方面来看，克拉玛依区</w:t>
            </w:r>
            <w:r>
              <w:rPr>
                <w:rFonts w:hint="eastAsia" w:ascii="仿宋_GB2312" w:hAnsi="仿宋_GB2312" w:eastAsia="仿宋_GB2312" w:cs="仿宋_GB2312"/>
                <w:i w:val="0"/>
                <w:iCs w:val="0"/>
                <w:color w:val="000000"/>
                <w:sz w:val="22"/>
                <w:szCs w:val="22"/>
                <w:highlight w:val="none"/>
                <w:u w:val="none"/>
                <w:lang w:val="en-US" w:eastAsia="zh-CN"/>
              </w:rPr>
              <w:t>住房和城乡建设局</w:t>
            </w:r>
            <w:r>
              <w:rPr>
                <w:rFonts w:hint="eastAsia" w:ascii="仿宋_GB2312" w:hAnsi="仿宋_GB2312" w:eastAsia="仿宋_GB2312" w:cs="仿宋_GB2312"/>
                <w:i w:val="0"/>
                <w:iCs w:val="0"/>
                <w:color w:val="000000"/>
                <w:sz w:val="22"/>
                <w:szCs w:val="22"/>
                <w:highlight w:val="none"/>
                <w:u w:val="none"/>
              </w:rPr>
              <w:t>主要存在预算</w:t>
            </w:r>
            <w:r>
              <w:rPr>
                <w:rFonts w:hint="eastAsia" w:ascii="仿宋_GB2312" w:hAnsi="仿宋_GB2312" w:eastAsia="仿宋_GB2312" w:cs="仿宋_GB2312"/>
                <w:i w:val="0"/>
                <w:iCs w:val="0"/>
                <w:color w:val="000000"/>
                <w:sz w:val="22"/>
                <w:szCs w:val="22"/>
                <w:highlight w:val="none"/>
                <w:u w:val="none"/>
                <w:lang w:val="en-US" w:eastAsia="zh-CN"/>
              </w:rPr>
              <w:t>数据</w:t>
            </w:r>
            <w:r>
              <w:rPr>
                <w:rFonts w:hint="eastAsia" w:ascii="仿宋_GB2312" w:hAnsi="仿宋_GB2312" w:eastAsia="仿宋_GB2312" w:cs="仿宋_GB2312"/>
                <w:i w:val="0"/>
                <w:iCs w:val="0"/>
                <w:color w:val="000000"/>
                <w:sz w:val="22"/>
                <w:szCs w:val="22"/>
                <w:highlight w:val="none"/>
                <w:u w:val="none"/>
              </w:rPr>
              <w:t>不一致、绩效管理工作成熟度不足等问题。因此，我对本项目评价结果提出以下建议:</w:t>
            </w:r>
          </w:p>
          <w:p w14:paraId="5E47A7B4">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sz w:val="22"/>
                <w:szCs w:val="22"/>
                <w:highlight w:val="none"/>
                <w:u w:val="none"/>
              </w:rPr>
              <w:t>（一）对评价中发现的问题进行整改</w:t>
            </w:r>
          </w:p>
          <w:p w14:paraId="0D5889C0">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sz w:val="22"/>
                <w:szCs w:val="22"/>
                <w:highlight w:val="none"/>
                <w:u w:val="none"/>
              </w:rPr>
              <w:t>建议克拉玛依区住房和城乡建设局对标对表、拉单列表，及时研究制定整改措施，确定整改期限，积极整改，加强制度建设，健全完善资金管理、项目管理和绩效管理等相关制度和办法，按期完成整改任务。</w:t>
            </w:r>
          </w:p>
          <w:p w14:paraId="68C5399E">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sz w:val="22"/>
                <w:szCs w:val="22"/>
                <w:highlight w:val="none"/>
                <w:u w:val="none"/>
              </w:rPr>
              <w:t>（二）下一年度预算安排</w:t>
            </w:r>
          </w:p>
          <w:p w14:paraId="51631A4F">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sz w:val="22"/>
                <w:szCs w:val="22"/>
                <w:highlight w:val="none"/>
                <w:u w:val="none"/>
              </w:rPr>
              <w:t>建议根据克拉玛依区财政局关于预算绩效管理相关政策要求，将本次重点项目绩效评价结果作为克拉玛依区住房和城乡建设局次年类似资金安排的参考依据，逐步健全绩效管理激励约束机制，促使部门履行好预算绩效管理的主体责任，促进克拉玛依区住房和城乡建设局的预算编制更精准更科学更完整，绩效目标设置更明确更细化更全面，切实提高财政资源配置效率和使用效率。</w:t>
            </w:r>
          </w:p>
          <w:p w14:paraId="5315CBFA">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sz w:val="22"/>
                <w:szCs w:val="22"/>
                <w:highlight w:val="none"/>
                <w:u w:val="none"/>
              </w:rPr>
              <w:t>（三）评价结果公开</w:t>
            </w:r>
          </w:p>
          <w:p w14:paraId="1B72EE56">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sz w:val="22"/>
                <w:szCs w:val="22"/>
                <w:highlight w:val="none"/>
                <w:u w:val="none"/>
              </w:rPr>
              <w:t>建议按照政府信息公开等有关要求，遵循“谁组织实施、谁进行公开”的原则，根据上级统一部署，对绩效评价结果采取适度公开，提升绩效评价社会参与度。</w:t>
            </w:r>
          </w:p>
        </w:tc>
      </w:tr>
    </w:tbl>
    <w:p w14:paraId="676C2B91">
      <w:pPr>
        <w:rPr>
          <w:rFonts w:hint="eastAsia" w:ascii="仿宋_GB2312" w:hAnsi="仿宋_GB2312" w:eastAsia="仿宋_GB2312" w:cs="仿宋_GB2312"/>
          <w:highlight w:val="none"/>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273BADC3">
      <w:pPr>
        <w:pStyle w:val="3"/>
        <w:bidi w:val="0"/>
        <w:ind w:firstLine="0" w:firstLineChars="0"/>
        <w:jc w:val="center"/>
        <w:outlineLvl w:val="0"/>
        <w:rPr>
          <w:rFonts w:hint="eastAsia" w:ascii="黑体" w:hAnsi="黑体" w:eastAsia="黑体" w:cs="黑体"/>
          <w:highlight w:val="none"/>
          <w:lang w:val="en-US" w:eastAsia="zh-CN"/>
        </w:rPr>
      </w:pPr>
      <w:bookmarkStart w:id="0" w:name="_Toc15051"/>
      <w:bookmarkStart w:id="1" w:name="_Toc2427"/>
      <w:bookmarkStart w:id="2" w:name="_Toc16571"/>
      <w:bookmarkStart w:id="3" w:name="_Toc17413"/>
      <w:r>
        <w:rPr>
          <w:rFonts w:hint="eastAsia" w:ascii="黑体" w:hAnsi="黑体" w:eastAsia="黑体" w:cs="黑体"/>
          <w:highlight w:val="none"/>
          <w:lang w:val="en-US" w:eastAsia="zh-CN"/>
        </w:rPr>
        <w:t>摘要</w:t>
      </w:r>
      <w:bookmarkEnd w:id="0"/>
      <w:bookmarkEnd w:id="1"/>
      <w:bookmarkEnd w:id="2"/>
      <w:bookmarkEnd w:id="3"/>
    </w:p>
    <w:p w14:paraId="1DE4C05A">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受</w:t>
      </w:r>
      <w:r>
        <w:rPr>
          <w:rFonts w:hint="eastAsia" w:cs="仿宋_GB2312"/>
          <w:highlight w:val="none"/>
          <w:lang w:val="en-US" w:eastAsia="zh-CN"/>
        </w:rPr>
        <w:t>克拉玛依市</w:t>
      </w:r>
      <w:r>
        <w:rPr>
          <w:rFonts w:hint="eastAsia" w:ascii="仿宋_GB2312" w:hAnsi="仿宋_GB2312" w:eastAsia="仿宋_GB2312" w:cs="仿宋_GB2312"/>
          <w:highlight w:val="none"/>
          <w:lang w:val="en-US" w:eastAsia="zh-CN"/>
        </w:rPr>
        <w:t xml:space="preserve">克拉玛依区财政局委托，北京上计会计师事务所（普通合伙）于 2025 年 7 月 14 日- 8 月 </w:t>
      </w:r>
      <w:r>
        <w:rPr>
          <w:rFonts w:hint="eastAsia" w:cs="仿宋_GB2312"/>
          <w:highlight w:val="none"/>
          <w:lang w:val="en-US" w:eastAsia="zh-CN"/>
        </w:rPr>
        <w:t>8</w:t>
      </w:r>
      <w:r>
        <w:rPr>
          <w:rFonts w:hint="eastAsia" w:ascii="仿宋_GB2312" w:hAnsi="仿宋_GB2312" w:eastAsia="仿宋_GB2312" w:cs="仿宋_GB2312"/>
          <w:highlight w:val="none"/>
          <w:lang w:val="en-US" w:eastAsia="zh-CN"/>
        </w:rPr>
        <w:t>日对克拉玛依区住房和城乡建设局管理的 A2024-061、A2024-062、A2024-063、A2024-064、A2024-065克拉玛依区老旧电梯更新改造项目开展了绩效评价，评价情况如下：</w:t>
      </w:r>
    </w:p>
    <w:p w14:paraId="4D7B1B42">
      <w:pPr>
        <w:pStyle w:val="4"/>
        <w:numPr>
          <w:ilvl w:val="0"/>
          <w:numId w:val="4"/>
        </w:numPr>
        <w:bidi w:val="0"/>
        <w:rPr>
          <w:rFonts w:hint="eastAsia"/>
          <w:highlight w:val="none"/>
          <w:lang w:val="en-US" w:eastAsia="zh-CN"/>
        </w:rPr>
      </w:pPr>
      <w:bookmarkStart w:id="4" w:name="_Toc3890"/>
      <w:bookmarkStart w:id="5" w:name="_Toc3686"/>
      <w:bookmarkStart w:id="6" w:name="_Toc6629"/>
      <w:bookmarkStart w:id="7" w:name="_Toc7897"/>
      <w:bookmarkStart w:id="8" w:name="_Toc620"/>
      <w:r>
        <w:rPr>
          <w:rFonts w:hint="eastAsia"/>
          <w:highlight w:val="none"/>
          <w:lang w:val="en-US" w:eastAsia="zh-CN"/>
        </w:rPr>
        <w:t>基本情况</w:t>
      </w:r>
      <w:bookmarkEnd w:id="4"/>
      <w:bookmarkEnd w:id="5"/>
      <w:bookmarkEnd w:id="6"/>
      <w:bookmarkEnd w:id="7"/>
      <w:bookmarkEnd w:id="8"/>
    </w:p>
    <w:p w14:paraId="0479634E">
      <w:pPr>
        <w:pStyle w:val="5"/>
        <w:numPr>
          <w:ilvl w:val="0"/>
          <w:numId w:val="0"/>
        </w:numPr>
        <w:bidi w:val="0"/>
        <w:ind w:left="0" w:leftChars="0" w:firstLine="643" w:firstLineChars="200"/>
        <w:rPr>
          <w:rFonts w:hint="eastAsia"/>
          <w:highlight w:val="none"/>
          <w:lang w:val="en-US" w:eastAsia="zh-CN"/>
        </w:rPr>
      </w:pPr>
      <w:bookmarkStart w:id="9" w:name="_Toc16116"/>
      <w:bookmarkStart w:id="10" w:name="_Toc8112"/>
      <w:bookmarkStart w:id="11" w:name="_Toc13305"/>
      <w:bookmarkStart w:id="12" w:name="_Toc22333"/>
      <w:bookmarkStart w:id="13" w:name="_Toc24711"/>
      <w:r>
        <w:rPr>
          <w:rFonts w:hint="eastAsia" w:ascii="仿宋_GB2312" w:hAnsi="仿宋_GB2312" w:eastAsia="楷体" w:cs="仿宋_GB2312"/>
          <w:b/>
          <w:kern w:val="2"/>
          <w:sz w:val="32"/>
          <w:szCs w:val="28"/>
          <w:highlight w:val="none"/>
          <w:lang w:val="en-US" w:eastAsia="zh-CN" w:bidi="ar-SA"/>
        </w:rPr>
        <w:t>（一）</w:t>
      </w:r>
      <w:r>
        <w:rPr>
          <w:rFonts w:hint="eastAsia"/>
          <w:highlight w:val="none"/>
          <w:lang w:val="en-US" w:eastAsia="zh-CN"/>
        </w:rPr>
        <w:t>项目概述</w:t>
      </w:r>
      <w:bookmarkEnd w:id="9"/>
      <w:bookmarkEnd w:id="10"/>
      <w:bookmarkEnd w:id="11"/>
      <w:bookmarkEnd w:id="12"/>
      <w:bookmarkEnd w:id="13"/>
    </w:p>
    <w:p w14:paraId="7F98C167">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依据《中华人民共和国特种设备安全法》《国务院办公厅关于加强电梯质量安全工作的意见》《国务院关于印发〈推动大规模设备更新和消费品以旧换新行动方案〉的通知》《安全生产“十四五”规划》及《新疆维吾尔自治区关于全面推进城镇老旧小区改造工作的指导意见》等政策要求，立足《克拉玛依市城市总体规划（2014—2030）》和超长期特别国债支持政策，牢牢把握“人民至上、生命至上”根本原则，完善“政府引导、多元共治、技术赋能”的电梯安全综合治理体系。通过统筹超长期特别国债资金支持与居民自治力量，系统推进住宅老旧电梯更新改造工程，重点消除使用15年以上电梯的安全隐患，同步提升应急救援智能化水平与节能环保性能，切实保障群众乘梯安全便捷，满足人民群众对高品质居住环境的美好需求，为建设更高水平的平安克拉玛依和智慧宜居城市提供坚实保障。</w:t>
      </w:r>
    </w:p>
    <w:p w14:paraId="5B0AA1E7">
      <w:pPr>
        <w:pStyle w:val="5"/>
        <w:numPr>
          <w:ilvl w:val="0"/>
          <w:numId w:val="0"/>
        </w:numPr>
        <w:bidi w:val="0"/>
        <w:ind w:left="0" w:leftChars="0" w:firstLine="643" w:firstLineChars="200"/>
        <w:rPr>
          <w:rFonts w:hint="eastAsia"/>
          <w:highlight w:val="none"/>
          <w:lang w:val="en-US" w:eastAsia="zh-CN"/>
        </w:rPr>
      </w:pPr>
      <w:bookmarkStart w:id="14" w:name="_Toc21722"/>
      <w:bookmarkStart w:id="15" w:name="_Toc945"/>
      <w:bookmarkStart w:id="16" w:name="_Toc21451"/>
      <w:bookmarkStart w:id="17" w:name="_Toc8119"/>
      <w:bookmarkStart w:id="18" w:name="_Toc4164"/>
      <w:r>
        <w:rPr>
          <w:rFonts w:hint="eastAsia" w:ascii="仿宋_GB2312" w:hAnsi="仿宋_GB2312" w:eastAsia="楷体" w:cs="仿宋_GB2312"/>
          <w:b/>
          <w:kern w:val="2"/>
          <w:sz w:val="32"/>
          <w:szCs w:val="28"/>
          <w:highlight w:val="none"/>
          <w:lang w:val="en-US" w:eastAsia="zh-CN" w:bidi="ar-SA"/>
        </w:rPr>
        <w:t>（二）</w:t>
      </w:r>
      <w:r>
        <w:rPr>
          <w:rFonts w:hint="eastAsia"/>
          <w:highlight w:val="none"/>
          <w:lang w:val="en-US" w:eastAsia="zh-CN"/>
        </w:rPr>
        <w:t>项目实施情况</w:t>
      </w:r>
      <w:bookmarkEnd w:id="14"/>
      <w:bookmarkEnd w:id="15"/>
      <w:bookmarkEnd w:id="16"/>
      <w:bookmarkEnd w:id="17"/>
      <w:bookmarkEnd w:id="18"/>
    </w:p>
    <w:p w14:paraId="3EC32CFF">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项目地址：克拉玛依市克拉玛依区</w:t>
      </w:r>
    </w:p>
    <w:p w14:paraId="4F13938F">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项目期限：2024年1月1日——2024年12月31日</w:t>
      </w:r>
    </w:p>
    <w:p w14:paraId="35E12CEA">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项目规模及内容：2024年根据住建部、国家发展改革委、市场监管总局印发《关于请抓紧做好2024年住宅老旧电梯更新改造有关工作的通知》文件，克拉玛依区申请超长期国债390万元，对26部已办理使用登记、使用年限长、配置水平低、运行故障率高、群众更新改造意愿强烈的电梯更新改造。本项目为克拉玛依市克拉玛依区天池北小区2部、园林小区4部、向阳南小区3部、黎明、前进北、前进南、胜利等5个小区13部、永升花苑小区4部，共计26部老旧电梯更新改造项目工程，建设内容主要包含：对天池北43栋2部，园林小区18、19栋4部，向阳南小区28栋、29栋3部，黎明小区11栋、前进北小区73栋、74栋、75栋、76栋、前进南小区86栋、胜利小区59栋、60栋、61栋13部，永升花苑小区9栋、35栋、36栋4部，共计26部老旧电梯进行拆除，更换新购置电梯及其配套供电、安保等设施设备。</w:t>
      </w:r>
    </w:p>
    <w:p w14:paraId="61802765">
      <w:pPr>
        <w:pStyle w:val="5"/>
        <w:numPr>
          <w:ilvl w:val="0"/>
          <w:numId w:val="0"/>
        </w:numPr>
        <w:bidi w:val="0"/>
        <w:ind w:left="0" w:leftChars="0" w:firstLine="643" w:firstLineChars="200"/>
        <w:rPr>
          <w:rFonts w:hint="default"/>
          <w:highlight w:val="none"/>
          <w:lang w:val="en-US" w:eastAsia="zh-CN"/>
        </w:rPr>
      </w:pPr>
      <w:bookmarkStart w:id="19" w:name="_Toc6402"/>
      <w:bookmarkStart w:id="20" w:name="_Toc32596"/>
      <w:bookmarkStart w:id="21" w:name="_Toc19140"/>
      <w:bookmarkStart w:id="22" w:name="_Toc20125"/>
      <w:bookmarkStart w:id="23" w:name="_Toc4667"/>
      <w:r>
        <w:rPr>
          <w:rFonts w:hint="eastAsia" w:ascii="仿宋_GB2312" w:hAnsi="仿宋_GB2312" w:eastAsia="楷体" w:cs="仿宋_GB2312"/>
          <w:b/>
          <w:kern w:val="2"/>
          <w:sz w:val="32"/>
          <w:szCs w:val="28"/>
          <w:highlight w:val="none"/>
          <w:lang w:val="en-US" w:eastAsia="zh-CN" w:bidi="ar-SA"/>
        </w:rPr>
        <w:t>（三）</w:t>
      </w:r>
      <w:r>
        <w:rPr>
          <w:rFonts w:hint="eastAsia"/>
          <w:highlight w:val="none"/>
          <w:lang w:val="en-US" w:eastAsia="zh-CN"/>
        </w:rPr>
        <w:t>绩效目标</w:t>
      </w:r>
      <w:bookmarkEnd w:id="19"/>
      <w:bookmarkEnd w:id="20"/>
      <w:bookmarkEnd w:id="21"/>
      <w:bookmarkEnd w:id="22"/>
      <w:bookmarkEnd w:id="23"/>
    </w:p>
    <w:p w14:paraId="67E6C3B3">
      <w:pPr>
        <w:pStyle w:val="6"/>
        <w:keepNext w:val="0"/>
        <w:keepLines w:val="0"/>
        <w:pageBreakBefore w:val="0"/>
        <w:widowControl/>
        <w:kinsoku/>
        <w:wordWrap/>
        <w:overflowPunct/>
        <w:topLinePunct w:val="0"/>
        <w:autoSpaceDE/>
        <w:autoSpaceDN/>
        <w:bidi w:val="0"/>
        <w:adjustRightInd/>
        <w:snapToGrid/>
        <w:spacing w:before="0" w:beforeLines="0" w:after="0" w:afterLines="0"/>
        <w:jc w:val="left"/>
        <w:textAlignment w:val="auto"/>
        <w:rPr>
          <w:rFonts w:hint="eastAsia"/>
          <w:highlight w:val="none"/>
          <w:lang w:val="en-US" w:eastAsia="zh-CN"/>
        </w:rPr>
      </w:pPr>
      <w:r>
        <w:rPr>
          <w:rFonts w:hint="eastAsia"/>
          <w:highlight w:val="none"/>
          <w:lang w:val="en-US" w:eastAsia="zh-CN"/>
        </w:rPr>
        <w:t>1.总目标</w:t>
      </w:r>
    </w:p>
    <w:p w14:paraId="5C43D6E6">
      <w:pPr>
        <w:pStyle w:val="6"/>
        <w:keepNext w:val="0"/>
        <w:keepLines w:val="0"/>
        <w:pageBreakBefore w:val="0"/>
        <w:widowControl/>
        <w:kinsoku/>
        <w:wordWrap/>
        <w:overflowPunct/>
        <w:topLinePunct w:val="0"/>
        <w:autoSpaceDE/>
        <w:autoSpaceDN/>
        <w:bidi w:val="0"/>
        <w:adjustRightInd/>
        <w:snapToGrid/>
        <w:spacing w:before="0" w:beforeLines="0" w:after="0" w:afterLines="0"/>
        <w:textAlignment w:val="auto"/>
        <w:rPr>
          <w:rFonts w:hint="default"/>
          <w:highlight w:val="none"/>
          <w:lang w:val="en-US" w:eastAsia="zh-CN"/>
        </w:rPr>
      </w:pPr>
      <w:r>
        <w:rPr>
          <w:rFonts w:hint="default"/>
          <w:highlight w:val="none"/>
          <w:lang w:val="en-US" w:eastAsia="zh-CN"/>
        </w:rPr>
        <w:t>2024年根据住建部、国家发展改革委、市场监管总局印发《关于请抓紧做好2024年住宅老旧电梯更新改造有关工作的通知》文件，克拉玛依区申请超长期国债390万元，对26部已办理使用登记、使用年限长、配置水平低、运行故障率高、群众更新改造意愿强烈的电梯更新改造。改造后的居民用上了安全、可靠的新电梯，出行更加安全便捷，幸福感显著增强。</w:t>
      </w:r>
    </w:p>
    <w:p w14:paraId="2D26175F">
      <w:pPr>
        <w:pStyle w:val="6"/>
        <w:keepNext w:val="0"/>
        <w:keepLines w:val="0"/>
        <w:pageBreakBefore w:val="0"/>
        <w:kinsoku/>
        <w:wordWrap/>
        <w:overflowPunct/>
        <w:topLinePunct w:val="0"/>
        <w:autoSpaceDE/>
        <w:autoSpaceDN/>
        <w:bidi w:val="0"/>
        <w:adjustRightInd/>
        <w:snapToGrid/>
        <w:spacing w:before="0" w:beforeLines="0" w:after="0" w:afterLines="0"/>
        <w:textAlignment w:val="auto"/>
        <w:rPr>
          <w:rFonts w:hint="eastAsia"/>
          <w:highlight w:val="none"/>
          <w:lang w:val="en-US" w:eastAsia="zh-CN"/>
        </w:rPr>
      </w:pPr>
      <w:r>
        <w:rPr>
          <w:rFonts w:hint="eastAsia"/>
          <w:highlight w:val="none"/>
          <w:lang w:val="en-US" w:eastAsia="zh-CN"/>
        </w:rPr>
        <w:t>2.年度绩效目标</w:t>
      </w:r>
    </w:p>
    <w:p w14:paraId="08FF79FA">
      <w:pPr>
        <w:keepNext w:val="0"/>
        <w:keepLines w:val="0"/>
        <w:pageBreakBefore w:val="0"/>
        <w:numPr>
          <w:ilvl w:val="0"/>
          <w:numId w:val="0"/>
        </w:numPr>
        <w:kinsoku/>
        <w:wordWrap/>
        <w:overflowPunct/>
        <w:topLinePunct w:val="0"/>
        <w:autoSpaceDE/>
        <w:autoSpaceDN/>
        <w:bidi w:val="0"/>
        <w:adjustRightInd/>
        <w:snapToGrid/>
        <w:ind w:left="0" w:leftChars="0" w:firstLine="640" w:firstLineChars="0"/>
        <w:textAlignment w:val="auto"/>
        <w:rPr>
          <w:rFonts w:hint="eastAsia"/>
          <w:highlight w:val="none"/>
          <w:lang w:val="en-US" w:eastAsia="zh-CN"/>
        </w:rPr>
      </w:pPr>
      <w:r>
        <w:rPr>
          <w:rFonts w:hint="eastAsia"/>
          <w:highlight w:val="none"/>
          <w:lang w:val="en-US" w:eastAsia="zh-CN"/>
        </w:rPr>
        <w:t>依据克拉玛依区住房和城乡建设局提供的克拉玛依区老旧电梯更新改造项目目标表，本项目年度绩效指标目标见下表：</w:t>
      </w:r>
    </w:p>
    <w:p w14:paraId="5BEE1957">
      <w:pPr>
        <w:pStyle w:val="2"/>
        <w:ind w:left="640" w:leftChars="200" w:firstLine="0" w:firstLineChars="0"/>
        <w:jc w:val="center"/>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表1-1 年度绩效目标表</w:t>
      </w:r>
    </w:p>
    <w:tbl>
      <w:tblPr>
        <w:tblStyle w:val="14"/>
        <w:tblW w:w="0" w:type="auto"/>
        <w:tblInd w:w="10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76"/>
        <w:gridCol w:w="1847"/>
        <w:gridCol w:w="2305"/>
        <w:gridCol w:w="2077"/>
      </w:tblGrid>
      <w:tr w14:paraId="7A978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trPr>
        <w:tc>
          <w:tcPr>
            <w:tcW w:w="2076" w:type="dxa"/>
            <w:tcBorders>
              <w:top w:val="single" w:color="000000" w:sz="4" w:space="0"/>
              <w:left w:val="single" w:color="000000" w:sz="4" w:space="0"/>
              <w:bottom w:val="nil"/>
              <w:right w:val="single" w:color="000000" w:sz="4" w:space="0"/>
            </w:tcBorders>
            <w:shd w:val="clear" w:color="auto" w:fill="auto"/>
            <w:vAlign w:val="center"/>
          </w:tcPr>
          <w:p w14:paraId="5E9B3B89">
            <w:pPr>
              <w:pStyle w:val="19"/>
              <w:bidi w:val="0"/>
              <w:ind w:left="0" w:leftChars="0" w:firstLine="0" w:firstLineChars="0"/>
              <w:jc w:val="center"/>
              <w:rPr>
                <w:rFonts w:hint="eastAsia"/>
                <w:highlight w:val="none"/>
              </w:rPr>
            </w:pPr>
            <w:r>
              <w:rPr>
                <w:rFonts w:hint="eastAsia"/>
                <w:highlight w:val="none"/>
                <w:lang w:val="en-US" w:eastAsia="zh-CN"/>
              </w:rPr>
              <w:t>一级指标</w:t>
            </w:r>
          </w:p>
        </w:tc>
        <w:tc>
          <w:tcPr>
            <w:tcW w:w="1847" w:type="dxa"/>
            <w:tcBorders>
              <w:top w:val="single" w:color="000000" w:sz="4" w:space="0"/>
              <w:left w:val="single" w:color="000000" w:sz="4" w:space="0"/>
              <w:bottom w:val="nil"/>
              <w:right w:val="single" w:color="000000" w:sz="4" w:space="0"/>
            </w:tcBorders>
            <w:shd w:val="clear" w:color="auto" w:fill="auto"/>
            <w:vAlign w:val="center"/>
          </w:tcPr>
          <w:p w14:paraId="57E8B02E">
            <w:pPr>
              <w:pStyle w:val="19"/>
              <w:bidi w:val="0"/>
              <w:ind w:left="0" w:leftChars="0" w:firstLine="0" w:firstLineChars="0"/>
              <w:jc w:val="center"/>
              <w:rPr>
                <w:rFonts w:hint="eastAsia"/>
                <w:highlight w:val="none"/>
              </w:rPr>
            </w:pPr>
            <w:r>
              <w:rPr>
                <w:rFonts w:hint="eastAsia"/>
                <w:highlight w:val="none"/>
                <w:lang w:val="en-US" w:eastAsia="zh-CN"/>
              </w:rPr>
              <w:t>二级指标</w:t>
            </w:r>
          </w:p>
        </w:tc>
        <w:tc>
          <w:tcPr>
            <w:tcW w:w="2305" w:type="dxa"/>
            <w:tcBorders>
              <w:top w:val="single" w:color="000000" w:sz="4" w:space="0"/>
              <w:left w:val="single" w:color="000000" w:sz="4" w:space="0"/>
              <w:bottom w:val="nil"/>
              <w:right w:val="single" w:color="000000" w:sz="4" w:space="0"/>
            </w:tcBorders>
            <w:shd w:val="clear" w:color="auto" w:fill="auto"/>
            <w:vAlign w:val="center"/>
          </w:tcPr>
          <w:p w14:paraId="3D6DB6C8">
            <w:pPr>
              <w:pStyle w:val="19"/>
              <w:bidi w:val="0"/>
              <w:ind w:left="0" w:leftChars="0" w:firstLine="0" w:firstLineChars="0"/>
              <w:jc w:val="center"/>
              <w:rPr>
                <w:rFonts w:hint="eastAsia"/>
                <w:highlight w:val="none"/>
              </w:rPr>
            </w:pPr>
            <w:r>
              <w:rPr>
                <w:rFonts w:hint="eastAsia"/>
                <w:highlight w:val="none"/>
                <w:lang w:val="en-US" w:eastAsia="zh-CN"/>
              </w:rPr>
              <w:t>三级指标</w:t>
            </w:r>
          </w:p>
        </w:tc>
        <w:tc>
          <w:tcPr>
            <w:tcW w:w="2077" w:type="dxa"/>
            <w:tcBorders>
              <w:top w:val="single" w:color="000000" w:sz="4" w:space="0"/>
              <w:left w:val="single" w:color="000000" w:sz="4" w:space="0"/>
              <w:bottom w:val="nil"/>
              <w:right w:val="single" w:color="000000" w:sz="4" w:space="0"/>
            </w:tcBorders>
            <w:shd w:val="clear" w:color="auto" w:fill="auto"/>
            <w:vAlign w:val="center"/>
          </w:tcPr>
          <w:p w14:paraId="560DDD75">
            <w:pPr>
              <w:pStyle w:val="19"/>
              <w:bidi w:val="0"/>
              <w:ind w:left="0" w:leftChars="0" w:firstLine="0" w:firstLineChars="0"/>
              <w:jc w:val="center"/>
              <w:rPr>
                <w:rFonts w:hint="eastAsia"/>
                <w:highlight w:val="none"/>
              </w:rPr>
            </w:pPr>
            <w:r>
              <w:rPr>
                <w:rFonts w:hint="eastAsia"/>
                <w:highlight w:val="none"/>
                <w:lang w:val="en-US" w:eastAsia="zh-CN"/>
              </w:rPr>
              <w:t>指标值</w:t>
            </w:r>
          </w:p>
        </w:tc>
      </w:tr>
      <w:tr w14:paraId="28B4F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0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27E510">
            <w:pPr>
              <w:pStyle w:val="19"/>
              <w:bidi w:val="0"/>
              <w:ind w:left="0" w:leftChars="0" w:firstLine="0" w:firstLineChars="0"/>
              <w:jc w:val="center"/>
              <w:rPr>
                <w:rFonts w:hint="eastAsia"/>
                <w:highlight w:val="none"/>
              </w:rPr>
            </w:pPr>
            <w:r>
              <w:rPr>
                <w:rFonts w:hint="eastAsia"/>
                <w:highlight w:val="none"/>
                <w:lang w:val="en-US" w:eastAsia="zh-CN"/>
              </w:rPr>
              <w:t>产出指标</w:t>
            </w:r>
          </w:p>
        </w:tc>
        <w:tc>
          <w:tcPr>
            <w:tcW w:w="1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3AEF0">
            <w:pPr>
              <w:pStyle w:val="19"/>
              <w:bidi w:val="0"/>
              <w:ind w:left="0" w:leftChars="0" w:firstLine="0" w:firstLineChars="0"/>
              <w:jc w:val="center"/>
              <w:rPr>
                <w:rFonts w:hint="eastAsia"/>
                <w:highlight w:val="none"/>
              </w:rPr>
            </w:pPr>
            <w:r>
              <w:rPr>
                <w:rFonts w:hint="eastAsia"/>
                <w:highlight w:val="none"/>
                <w:lang w:val="en-US" w:eastAsia="zh-CN"/>
              </w:rPr>
              <w:t>数量指标</w:t>
            </w:r>
          </w:p>
        </w:tc>
        <w:tc>
          <w:tcPr>
            <w:tcW w:w="2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7C996">
            <w:pPr>
              <w:pStyle w:val="19"/>
              <w:bidi w:val="0"/>
              <w:ind w:left="0" w:leftChars="0" w:firstLine="0" w:firstLineChars="0"/>
              <w:jc w:val="center"/>
              <w:rPr>
                <w:rFonts w:hint="eastAsia"/>
                <w:highlight w:val="none"/>
              </w:rPr>
            </w:pPr>
            <w:r>
              <w:rPr>
                <w:rFonts w:hint="eastAsia"/>
                <w:highlight w:val="none"/>
                <w:lang w:val="en-US" w:eastAsia="zh-CN"/>
              </w:rPr>
              <w:t>购置设备数量</w:t>
            </w:r>
          </w:p>
        </w:tc>
        <w:tc>
          <w:tcPr>
            <w:tcW w:w="2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8BC6C">
            <w:pPr>
              <w:pStyle w:val="19"/>
              <w:bidi w:val="0"/>
              <w:ind w:left="0" w:leftChars="0" w:firstLine="0" w:firstLineChars="0"/>
              <w:jc w:val="center"/>
              <w:rPr>
                <w:rFonts w:hint="eastAsia"/>
                <w:highlight w:val="none"/>
              </w:rPr>
            </w:pPr>
            <w:r>
              <w:rPr>
                <w:rFonts w:hint="eastAsia"/>
                <w:highlight w:val="none"/>
                <w:lang w:val="en-US" w:eastAsia="zh-CN"/>
              </w:rPr>
              <w:t>≥26台</w:t>
            </w:r>
          </w:p>
        </w:tc>
      </w:tr>
      <w:tr w14:paraId="51ACC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ACB13A">
            <w:pPr>
              <w:pStyle w:val="19"/>
              <w:bidi w:val="0"/>
              <w:jc w:val="center"/>
              <w:rPr>
                <w:rFonts w:hint="eastAsia"/>
                <w:highlight w:val="none"/>
              </w:rPr>
            </w:pPr>
          </w:p>
        </w:tc>
        <w:tc>
          <w:tcPr>
            <w:tcW w:w="18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A5044E">
            <w:pPr>
              <w:pStyle w:val="19"/>
              <w:bidi w:val="0"/>
              <w:ind w:left="0" w:leftChars="0" w:firstLine="0" w:firstLineChars="0"/>
              <w:jc w:val="center"/>
              <w:rPr>
                <w:rFonts w:hint="eastAsia"/>
                <w:highlight w:val="none"/>
              </w:rPr>
            </w:pPr>
            <w:r>
              <w:rPr>
                <w:rFonts w:hint="eastAsia"/>
                <w:highlight w:val="none"/>
                <w:lang w:val="en-US" w:eastAsia="zh-CN"/>
              </w:rPr>
              <w:t>质量指标</w:t>
            </w:r>
          </w:p>
        </w:tc>
        <w:tc>
          <w:tcPr>
            <w:tcW w:w="2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68FF7">
            <w:pPr>
              <w:pStyle w:val="19"/>
              <w:bidi w:val="0"/>
              <w:ind w:left="0" w:leftChars="0" w:firstLine="0" w:firstLineChars="0"/>
              <w:jc w:val="center"/>
              <w:rPr>
                <w:rFonts w:hint="eastAsia"/>
                <w:highlight w:val="none"/>
              </w:rPr>
            </w:pPr>
            <w:r>
              <w:rPr>
                <w:rFonts w:hint="eastAsia"/>
                <w:highlight w:val="none"/>
                <w:lang w:val="en-US" w:eastAsia="zh-CN"/>
              </w:rPr>
              <w:t>项目验收合格率</w:t>
            </w:r>
          </w:p>
        </w:tc>
        <w:tc>
          <w:tcPr>
            <w:tcW w:w="2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55D19">
            <w:pPr>
              <w:pStyle w:val="19"/>
              <w:bidi w:val="0"/>
              <w:ind w:left="0" w:leftChars="0" w:firstLine="0" w:firstLineChars="0"/>
              <w:jc w:val="center"/>
              <w:rPr>
                <w:rFonts w:hint="eastAsia"/>
                <w:highlight w:val="none"/>
              </w:rPr>
            </w:pPr>
            <w:r>
              <w:rPr>
                <w:rFonts w:hint="eastAsia"/>
                <w:highlight w:val="none"/>
                <w:lang w:val="en-US" w:eastAsia="zh-CN"/>
              </w:rPr>
              <w:t>=100%</w:t>
            </w:r>
          </w:p>
        </w:tc>
      </w:tr>
      <w:tr w14:paraId="2DECE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C5CE90">
            <w:pPr>
              <w:pStyle w:val="19"/>
              <w:bidi w:val="0"/>
              <w:jc w:val="center"/>
              <w:rPr>
                <w:rFonts w:hint="eastAsia"/>
                <w:highlight w:val="none"/>
              </w:rPr>
            </w:pPr>
          </w:p>
        </w:tc>
        <w:tc>
          <w:tcPr>
            <w:tcW w:w="18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DB86B">
            <w:pPr>
              <w:pStyle w:val="19"/>
              <w:bidi w:val="0"/>
              <w:ind w:left="0" w:leftChars="0" w:firstLine="0" w:firstLineChars="0"/>
              <w:jc w:val="center"/>
              <w:rPr>
                <w:rFonts w:hint="eastAsia"/>
                <w:highlight w:val="none"/>
              </w:rPr>
            </w:pPr>
          </w:p>
        </w:tc>
        <w:tc>
          <w:tcPr>
            <w:tcW w:w="2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9085B">
            <w:pPr>
              <w:pStyle w:val="19"/>
              <w:bidi w:val="0"/>
              <w:ind w:left="0" w:leftChars="0" w:firstLine="0" w:firstLineChars="0"/>
              <w:jc w:val="center"/>
              <w:rPr>
                <w:rFonts w:hint="eastAsia"/>
                <w:highlight w:val="none"/>
              </w:rPr>
            </w:pPr>
            <w:r>
              <w:rPr>
                <w:rFonts w:hint="eastAsia"/>
                <w:highlight w:val="none"/>
                <w:lang w:val="en-US" w:eastAsia="zh-CN"/>
              </w:rPr>
              <w:t>政府采购率</w:t>
            </w:r>
          </w:p>
        </w:tc>
        <w:tc>
          <w:tcPr>
            <w:tcW w:w="2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81A37">
            <w:pPr>
              <w:pStyle w:val="19"/>
              <w:bidi w:val="0"/>
              <w:ind w:left="0" w:leftChars="0" w:firstLine="0" w:firstLineChars="0"/>
              <w:jc w:val="center"/>
              <w:rPr>
                <w:rFonts w:hint="eastAsia"/>
                <w:highlight w:val="none"/>
              </w:rPr>
            </w:pPr>
            <w:r>
              <w:rPr>
                <w:rFonts w:hint="eastAsia"/>
                <w:highlight w:val="none"/>
                <w:lang w:val="en-US" w:eastAsia="zh-CN"/>
              </w:rPr>
              <w:t>=100%</w:t>
            </w:r>
          </w:p>
        </w:tc>
      </w:tr>
      <w:tr w14:paraId="55FDB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2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BA76E">
            <w:pPr>
              <w:pStyle w:val="19"/>
              <w:bidi w:val="0"/>
              <w:jc w:val="center"/>
              <w:rPr>
                <w:rFonts w:hint="eastAsia"/>
                <w:highlight w:val="none"/>
              </w:rPr>
            </w:pPr>
          </w:p>
        </w:tc>
        <w:tc>
          <w:tcPr>
            <w:tcW w:w="18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06D11C">
            <w:pPr>
              <w:pStyle w:val="19"/>
              <w:bidi w:val="0"/>
              <w:ind w:left="0" w:leftChars="0" w:firstLine="0" w:firstLineChars="0"/>
              <w:jc w:val="center"/>
              <w:rPr>
                <w:rFonts w:hint="eastAsia"/>
                <w:highlight w:val="none"/>
              </w:rPr>
            </w:pPr>
          </w:p>
        </w:tc>
        <w:tc>
          <w:tcPr>
            <w:tcW w:w="2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3B80E">
            <w:pPr>
              <w:pStyle w:val="19"/>
              <w:bidi w:val="0"/>
              <w:ind w:left="0" w:leftChars="0" w:firstLine="0" w:firstLineChars="0"/>
              <w:jc w:val="center"/>
              <w:rPr>
                <w:rFonts w:hint="eastAsia"/>
                <w:highlight w:val="none"/>
              </w:rPr>
            </w:pPr>
            <w:r>
              <w:rPr>
                <w:rFonts w:hint="eastAsia"/>
                <w:highlight w:val="none"/>
                <w:lang w:val="en-US" w:eastAsia="zh-CN"/>
              </w:rPr>
              <w:t>设备质量合格率</w:t>
            </w:r>
          </w:p>
        </w:tc>
        <w:tc>
          <w:tcPr>
            <w:tcW w:w="2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5A385">
            <w:pPr>
              <w:pStyle w:val="19"/>
              <w:bidi w:val="0"/>
              <w:ind w:left="0" w:leftChars="0" w:firstLine="0" w:firstLineChars="0"/>
              <w:jc w:val="center"/>
              <w:rPr>
                <w:rFonts w:hint="eastAsia"/>
                <w:highlight w:val="none"/>
              </w:rPr>
            </w:pPr>
            <w:r>
              <w:rPr>
                <w:rFonts w:hint="eastAsia"/>
                <w:highlight w:val="none"/>
                <w:lang w:val="en-US" w:eastAsia="zh-CN"/>
              </w:rPr>
              <w:t>=100%</w:t>
            </w:r>
          </w:p>
        </w:tc>
      </w:tr>
      <w:tr w14:paraId="7504E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E5E62">
            <w:pPr>
              <w:pStyle w:val="19"/>
              <w:bidi w:val="0"/>
              <w:jc w:val="center"/>
              <w:rPr>
                <w:rFonts w:hint="eastAsia"/>
                <w:highlight w:val="none"/>
              </w:rPr>
            </w:pPr>
          </w:p>
        </w:tc>
        <w:tc>
          <w:tcPr>
            <w:tcW w:w="1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B394D">
            <w:pPr>
              <w:pStyle w:val="19"/>
              <w:bidi w:val="0"/>
              <w:ind w:left="0" w:leftChars="0" w:firstLine="0" w:firstLineChars="0"/>
              <w:jc w:val="center"/>
              <w:rPr>
                <w:rFonts w:hint="eastAsia"/>
                <w:highlight w:val="none"/>
              </w:rPr>
            </w:pPr>
            <w:r>
              <w:rPr>
                <w:rFonts w:hint="eastAsia"/>
                <w:highlight w:val="none"/>
                <w:lang w:val="en-US" w:eastAsia="zh-CN"/>
              </w:rPr>
              <w:t>时效指标</w:t>
            </w:r>
          </w:p>
        </w:tc>
        <w:tc>
          <w:tcPr>
            <w:tcW w:w="2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26A28">
            <w:pPr>
              <w:pStyle w:val="19"/>
              <w:bidi w:val="0"/>
              <w:ind w:left="0" w:leftChars="0" w:firstLine="0" w:firstLineChars="0"/>
              <w:jc w:val="center"/>
              <w:rPr>
                <w:rFonts w:hint="eastAsia"/>
                <w:highlight w:val="none"/>
              </w:rPr>
            </w:pPr>
            <w:r>
              <w:rPr>
                <w:rFonts w:hint="eastAsia"/>
                <w:highlight w:val="none"/>
                <w:lang w:val="en-US" w:eastAsia="zh-CN"/>
              </w:rPr>
              <w:t>设备采购完成时间</w:t>
            </w:r>
          </w:p>
        </w:tc>
        <w:tc>
          <w:tcPr>
            <w:tcW w:w="2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43D79">
            <w:pPr>
              <w:pStyle w:val="19"/>
              <w:bidi w:val="0"/>
              <w:ind w:left="0" w:leftChars="0" w:firstLine="0" w:firstLineChars="0"/>
              <w:jc w:val="center"/>
              <w:rPr>
                <w:rFonts w:hint="eastAsia"/>
                <w:highlight w:val="none"/>
              </w:rPr>
            </w:pPr>
            <w:r>
              <w:rPr>
                <w:rFonts w:hint="eastAsia"/>
                <w:highlight w:val="none"/>
                <w:lang w:val="en-US" w:eastAsia="zh-CN"/>
              </w:rPr>
              <w:t>2025年2月1日</w:t>
            </w:r>
          </w:p>
        </w:tc>
      </w:tr>
      <w:tr w14:paraId="7D4CF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076" w:type="dxa"/>
            <w:tcBorders>
              <w:top w:val="single" w:color="000000" w:sz="4" w:space="0"/>
              <w:left w:val="single" w:color="000000" w:sz="4" w:space="0"/>
              <w:bottom w:val="single" w:color="auto" w:sz="4" w:space="0"/>
              <w:right w:val="single" w:color="000000" w:sz="4" w:space="0"/>
            </w:tcBorders>
            <w:shd w:val="clear" w:color="auto" w:fill="auto"/>
            <w:vAlign w:val="center"/>
          </w:tcPr>
          <w:p w14:paraId="6FA89345">
            <w:pPr>
              <w:pStyle w:val="19"/>
              <w:bidi w:val="0"/>
              <w:ind w:left="0" w:leftChars="0" w:firstLine="0" w:firstLineChars="0"/>
              <w:jc w:val="center"/>
              <w:rPr>
                <w:rFonts w:hint="eastAsia"/>
                <w:highlight w:val="none"/>
              </w:rPr>
            </w:pPr>
            <w:r>
              <w:rPr>
                <w:rFonts w:hint="eastAsia"/>
                <w:highlight w:val="none"/>
                <w:lang w:val="en-US" w:eastAsia="zh-CN"/>
              </w:rPr>
              <w:t>成本指标</w:t>
            </w:r>
          </w:p>
        </w:tc>
        <w:tc>
          <w:tcPr>
            <w:tcW w:w="1847" w:type="dxa"/>
            <w:tcBorders>
              <w:top w:val="single" w:color="000000" w:sz="4" w:space="0"/>
              <w:left w:val="single" w:color="000000" w:sz="4" w:space="0"/>
              <w:bottom w:val="single" w:color="auto" w:sz="4" w:space="0"/>
              <w:right w:val="single" w:color="000000" w:sz="4" w:space="0"/>
            </w:tcBorders>
            <w:shd w:val="clear" w:color="auto" w:fill="auto"/>
            <w:vAlign w:val="center"/>
          </w:tcPr>
          <w:p w14:paraId="0D767E51">
            <w:pPr>
              <w:pStyle w:val="19"/>
              <w:bidi w:val="0"/>
              <w:ind w:left="0" w:leftChars="0" w:firstLine="0" w:firstLineChars="0"/>
              <w:jc w:val="center"/>
              <w:rPr>
                <w:rFonts w:hint="eastAsia"/>
                <w:highlight w:val="none"/>
              </w:rPr>
            </w:pPr>
            <w:r>
              <w:rPr>
                <w:rFonts w:hint="eastAsia"/>
                <w:highlight w:val="none"/>
                <w:lang w:val="en-US" w:eastAsia="zh-CN"/>
              </w:rPr>
              <w:t>经济成本指标</w:t>
            </w:r>
          </w:p>
        </w:tc>
        <w:tc>
          <w:tcPr>
            <w:tcW w:w="2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3B6F2">
            <w:pPr>
              <w:pStyle w:val="19"/>
              <w:bidi w:val="0"/>
              <w:ind w:left="0" w:leftChars="0" w:firstLine="0" w:firstLineChars="0"/>
              <w:jc w:val="center"/>
              <w:rPr>
                <w:rFonts w:hint="eastAsia"/>
                <w:highlight w:val="none"/>
              </w:rPr>
            </w:pPr>
            <w:r>
              <w:rPr>
                <w:rFonts w:hint="eastAsia"/>
                <w:highlight w:val="none"/>
                <w:lang w:val="en-US" w:eastAsia="zh-CN"/>
              </w:rPr>
              <w:t>设备采购成本购置数</w:t>
            </w:r>
          </w:p>
        </w:tc>
        <w:tc>
          <w:tcPr>
            <w:tcW w:w="2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90BAA">
            <w:pPr>
              <w:pStyle w:val="19"/>
              <w:bidi w:val="0"/>
              <w:ind w:left="0" w:leftChars="0" w:firstLine="0" w:firstLineChars="0"/>
              <w:jc w:val="center"/>
              <w:rPr>
                <w:rFonts w:hint="eastAsia"/>
                <w:highlight w:val="none"/>
              </w:rPr>
            </w:pPr>
            <w:r>
              <w:rPr>
                <w:rFonts w:hint="eastAsia"/>
                <w:highlight w:val="none"/>
                <w:lang w:val="en-US" w:eastAsia="zh-CN"/>
              </w:rPr>
              <w:t>≤35万元/台</w:t>
            </w:r>
          </w:p>
        </w:tc>
      </w:tr>
      <w:tr w14:paraId="746CF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076" w:type="dxa"/>
            <w:tcBorders>
              <w:top w:val="single" w:color="auto" w:sz="4" w:space="0"/>
              <w:left w:val="single" w:color="auto" w:sz="4" w:space="0"/>
              <w:bottom w:val="single" w:color="auto" w:sz="4" w:space="0"/>
              <w:right w:val="single" w:color="000000" w:sz="4" w:space="0"/>
            </w:tcBorders>
            <w:shd w:val="clear" w:color="auto" w:fill="auto"/>
            <w:vAlign w:val="center"/>
          </w:tcPr>
          <w:p w14:paraId="5F4FF20D">
            <w:pPr>
              <w:pStyle w:val="19"/>
              <w:bidi w:val="0"/>
              <w:ind w:left="0" w:leftChars="0" w:firstLine="0" w:firstLineChars="0"/>
              <w:jc w:val="center"/>
              <w:rPr>
                <w:rFonts w:hint="eastAsia"/>
                <w:highlight w:val="none"/>
              </w:rPr>
            </w:pPr>
            <w:r>
              <w:rPr>
                <w:rFonts w:hint="eastAsia"/>
                <w:highlight w:val="none"/>
                <w:lang w:val="en-US" w:eastAsia="zh-CN"/>
              </w:rPr>
              <w:t>效益指标</w:t>
            </w:r>
          </w:p>
        </w:tc>
        <w:tc>
          <w:tcPr>
            <w:tcW w:w="1847" w:type="dxa"/>
            <w:tcBorders>
              <w:top w:val="single" w:color="auto" w:sz="4" w:space="0"/>
              <w:left w:val="single" w:color="000000" w:sz="4" w:space="0"/>
              <w:bottom w:val="single" w:color="auto" w:sz="4" w:space="0"/>
              <w:right w:val="single" w:color="auto" w:sz="4" w:space="0"/>
            </w:tcBorders>
            <w:shd w:val="clear" w:color="auto" w:fill="auto"/>
            <w:vAlign w:val="center"/>
          </w:tcPr>
          <w:p w14:paraId="5FEFCD1F">
            <w:pPr>
              <w:pStyle w:val="19"/>
              <w:bidi w:val="0"/>
              <w:ind w:left="0" w:leftChars="0" w:firstLine="0" w:firstLineChars="0"/>
              <w:jc w:val="center"/>
              <w:rPr>
                <w:rFonts w:hint="eastAsia"/>
                <w:highlight w:val="none"/>
              </w:rPr>
            </w:pPr>
            <w:r>
              <w:rPr>
                <w:rFonts w:hint="eastAsia"/>
                <w:highlight w:val="none"/>
                <w:lang w:val="en-US" w:eastAsia="zh-CN"/>
              </w:rPr>
              <w:t>经济效益</w:t>
            </w:r>
          </w:p>
        </w:tc>
        <w:tc>
          <w:tcPr>
            <w:tcW w:w="2305" w:type="dxa"/>
            <w:tcBorders>
              <w:top w:val="single" w:color="000000" w:sz="4" w:space="0"/>
              <w:left w:val="single" w:color="auto" w:sz="4" w:space="0"/>
              <w:bottom w:val="single" w:color="000000" w:sz="4" w:space="0"/>
              <w:right w:val="single" w:color="000000" w:sz="4" w:space="0"/>
            </w:tcBorders>
            <w:shd w:val="clear" w:color="auto" w:fill="auto"/>
            <w:vAlign w:val="center"/>
          </w:tcPr>
          <w:p w14:paraId="1D9395DA">
            <w:pPr>
              <w:pStyle w:val="19"/>
              <w:bidi w:val="0"/>
              <w:ind w:left="0" w:leftChars="0" w:firstLine="0" w:firstLineChars="0"/>
              <w:jc w:val="center"/>
              <w:rPr>
                <w:rFonts w:hint="eastAsia"/>
                <w:highlight w:val="none"/>
              </w:rPr>
            </w:pPr>
            <w:r>
              <w:rPr>
                <w:rFonts w:hint="eastAsia"/>
                <w:highlight w:val="none"/>
                <w:lang w:val="en-US" w:eastAsia="zh-CN"/>
              </w:rPr>
              <w:t>设备使用率</w:t>
            </w:r>
          </w:p>
        </w:tc>
        <w:tc>
          <w:tcPr>
            <w:tcW w:w="2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E37C9">
            <w:pPr>
              <w:pStyle w:val="19"/>
              <w:bidi w:val="0"/>
              <w:ind w:left="0" w:leftChars="0" w:firstLine="0" w:firstLineChars="0"/>
              <w:jc w:val="center"/>
              <w:rPr>
                <w:rFonts w:hint="eastAsia"/>
                <w:highlight w:val="none"/>
              </w:rPr>
            </w:pPr>
            <w:r>
              <w:rPr>
                <w:rFonts w:hint="eastAsia"/>
                <w:highlight w:val="none"/>
                <w:lang w:val="en-US" w:eastAsia="zh-CN"/>
              </w:rPr>
              <w:t>=100%</w:t>
            </w:r>
          </w:p>
        </w:tc>
      </w:tr>
      <w:tr w14:paraId="434B5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2076" w:type="dxa"/>
            <w:tcBorders>
              <w:top w:val="single" w:color="auto" w:sz="4" w:space="0"/>
              <w:left w:val="single" w:color="000000" w:sz="4" w:space="0"/>
              <w:bottom w:val="single" w:color="000000" w:sz="4" w:space="0"/>
              <w:right w:val="single" w:color="000000" w:sz="4" w:space="0"/>
            </w:tcBorders>
            <w:shd w:val="clear" w:color="auto" w:fill="auto"/>
            <w:vAlign w:val="center"/>
          </w:tcPr>
          <w:p w14:paraId="25040AF0">
            <w:pPr>
              <w:pStyle w:val="19"/>
              <w:bidi w:val="0"/>
              <w:ind w:left="0" w:leftChars="0" w:firstLine="0" w:firstLineChars="0"/>
              <w:jc w:val="center"/>
              <w:rPr>
                <w:rFonts w:hint="eastAsia"/>
                <w:highlight w:val="none"/>
              </w:rPr>
            </w:pPr>
            <w:r>
              <w:rPr>
                <w:rFonts w:hint="eastAsia"/>
                <w:highlight w:val="none"/>
                <w:lang w:val="en-US" w:eastAsia="zh-CN"/>
              </w:rPr>
              <w:t>满意度指标</w:t>
            </w:r>
          </w:p>
        </w:tc>
        <w:tc>
          <w:tcPr>
            <w:tcW w:w="1847" w:type="dxa"/>
            <w:tcBorders>
              <w:top w:val="single" w:color="auto" w:sz="4" w:space="0"/>
              <w:left w:val="single" w:color="000000" w:sz="4" w:space="0"/>
              <w:bottom w:val="single" w:color="000000" w:sz="4" w:space="0"/>
              <w:right w:val="single" w:color="000000" w:sz="4" w:space="0"/>
            </w:tcBorders>
            <w:shd w:val="clear" w:color="auto" w:fill="auto"/>
            <w:vAlign w:val="center"/>
          </w:tcPr>
          <w:p w14:paraId="531A2FD2">
            <w:pPr>
              <w:pStyle w:val="19"/>
              <w:bidi w:val="0"/>
              <w:ind w:left="0" w:leftChars="0" w:firstLine="0" w:firstLineChars="0"/>
              <w:jc w:val="center"/>
              <w:rPr>
                <w:rFonts w:hint="eastAsia"/>
                <w:highlight w:val="none"/>
              </w:rPr>
            </w:pPr>
            <w:r>
              <w:rPr>
                <w:rFonts w:hint="eastAsia"/>
                <w:highlight w:val="none"/>
                <w:lang w:val="en-US" w:eastAsia="zh-CN"/>
              </w:rPr>
              <w:t>满意度指标</w:t>
            </w:r>
          </w:p>
        </w:tc>
        <w:tc>
          <w:tcPr>
            <w:tcW w:w="2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20968">
            <w:pPr>
              <w:pStyle w:val="19"/>
              <w:bidi w:val="0"/>
              <w:ind w:left="0" w:leftChars="0" w:firstLine="0" w:firstLineChars="0"/>
              <w:jc w:val="center"/>
              <w:rPr>
                <w:rFonts w:hint="eastAsia"/>
                <w:highlight w:val="none"/>
              </w:rPr>
            </w:pPr>
            <w:r>
              <w:rPr>
                <w:rFonts w:hint="eastAsia"/>
                <w:highlight w:val="none"/>
                <w:lang w:val="en-US" w:eastAsia="zh-CN"/>
              </w:rPr>
              <w:t>满意度指标</w:t>
            </w:r>
          </w:p>
        </w:tc>
        <w:tc>
          <w:tcPr>
            <w:tcW w:w="2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CE2CC">
            <w:pPr>
              <w:pStyle w:val="19"/>
              <w:bidi w:val="0"/>
              <w:ind w:left="0" w:leftChars="0" w:firstLine="0" w:firstLineChars="0"/>
              <w:jc w:val="center"/>
              <w:rPr>
                <w:rFonts w:hint="eastAsia"/>
                <w:highlight w:val="none"/>
              </w:rPr>
            </w:pPr>
            <w:r>
              <w:rPr>
                <w:rFonts w:hint="eastAsia"/>
                <w:highlight w:val="none"/>
                <w:lang w:val="en-US" w:eastAsia="zh-CN"/>
              </w:rPr>
              <w:t>≥90%</w:t>
            </w:r>
          </w:p>
        </w:tc>
      </w:tr>
    </w:tbl>
    <w:p w14:paraId="2BBD210E">
      <w:pPr>
        <w:pStyle w:val="4"/>
        <w:numPr>
          <w:ilvl w:val="0"/>
          <w:numId w:val="4"/>
        </w:numPr>
        <w:bidi w:val="0"/>
        <w:rPr>
          <w:rFonts w:hint="eastAsia"/>
          <w:highlight w:val="none"/>
          <w:lang w:val="en-US" w:eastAsia="zh-CN"/>
        </w:rPr>
      </w:pPr>
      <w:bookmarkStart w:id="24" w:name="_Toc30635"/>
      <w:bookmarkStart w:id="25" w:name="_Toc22125"/>
      <w:bookmarkStart w:id="26" w:name="_Toc17360"/>
      <w:bookmarkStart w:id="27" w:name="_Toc18764"/>
      <w:bookmarkStart w:id="28" w:name="_Toc8846"/>
      <w:r>
        <w:rPr>
          <w:rFonts w:hint="eastAsia"/>
          <w:highlight w:val="none"/>
          <w:lang w:val="en-US" w:eastAsia="zh-CN"/>
        </w:rPr>
        <w:t>绩效评价情况</w:t>
      </w:r>
      <w:bookmarkEnd w:id="24"/>
      <w:bookmarkEnd w:id="25"/>
      <w:bookmarkEnd w:id="26"/>
      <w:bookmarkEnd w:id="27"/>
      <w:bookmarkEnd w:id="28"/>
    </w:p>
    <w:p w14:paraId="5C2DE1A3">
      <w:pPr>
        <w:pStyle w:val="5"/>
        <w:keepNext w:val="0"/>
        <w:keepLines w:val="0"/>
        <w:pageBreakBefore w:val="0"/>
        <w:numPr>
          <w:ilvl w:val="0"/>
          <w:numId w:val="5"/>
        </w:numPr>
        <w:kinsoku/>
        <w:wordWrap/>
        <w:overflowPunct/>
        <w:topLinePunct w:val="0"/>
        <w:autoSpaceDE/>
        <w:autoSpaceDN/>
        <w:bidi w:val="0"/>
        <w:adjustRightInd/>
        <w:snapToGrid/>
        <w:spacing w:before="0" w:beforeLines="0" w:after="0" w:afterLines="0"/>
        <w:ind w:left="400" w:leftChars="0" w:firstLineChars="0"/>
        <w:textAlignment w:val="auto"/>
        <w:rPr>
          <w:rFonts w:hint="eastAsia"/>
          <w:highlight w:val="none"/>
          <w:lang w:val="en-US" w:eastAsia="zh-CN"/>
        </w:rPr>
      </w:pPr>
      <w:bookmarkStart w:id="29" w:name="_Toc4628"/>
      <w:bookmarkStart w:id="30" w:name="_Toc27410"/>
      <w:bookmarkStart w:id="31" w:name="_Toc427"/>
      <w:bookmarkStart w:id="32" w:name="_Toc5571"/>
      <w:r>
        <w:rPr>
          <w:rFonts w:hint="eastAsia"/>
          <w:highlight w:val="none"/>
          <w:lang w:val="en-US" w:eastAsia="zh-CN"/>
        </w:rPr>
        <w:t>评价结论</w:t>
      </w:r>
      <w:bookmarkEnd w:id="29"/>
      <w:bookmarkEnd w:id="30"/>
      <w:bookmarkEnd w:id="31"/>
      <w:bookmarkEnd w:id="32"/>
    </w:p>
    <w:p w14:paraId="13599FB1">
      <w:pPr>
        <w:keepNext w:val="0"/>
        <w:keepLines w:val="0"/>
        <w:pageBreakBefore w:val="0"/>
        <w:kinsoku/>
        <w:wordWrap/>
        <w:overflowPunct/>
        <w:topLinePunct w:val="0"/>
        <w:autoSpaceDE/>
        <w:autoSpaceDN/>
        <w:bidi w:val="0"/>
        <w:adjustRightInd/>
        <w:snapToGrid/>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运用由评价组研发并通过主管单位确认的评价指标体系及评分标准，通过基础数据填报、问卷调查和访谈获取的数据及项目单位提供的资料，评价组对“A2024-061、A2024-062、A2024-063、A2024-064、A2024-065克拉玛依区老旧电梯更新改造”项目进行了独立客观的评价，该项目最终评价得分： </w:t>
      </w:r>
      <w:r>
        <w:rPr>
          <w:rFonts w:hint="eastAsia" w:cs="仿宋_GB2312"/>
          <w:highlight w:val="none"/>
          <w:lang w:val="en-US" w:eastAsia="zh-CN"/>
        </w:rPr>
        <w:t>96</w:t>
      </w:r>
      <w:r>
        <w:rPr>
          <w:rFonts w:hint="eastAsia" w:ascii="仿宋_GB2312" w:hAnsi="仿宋_GB2312" w:eastAsia="仿宋_GB2312" w:cs="仿宋_GB2312"/>
          <w:highlight w:val="none"/>
          <w:lang w:val="en-US" w:eastAsia="zh-CN"/>
        </w:rPr>
        <w:t>分，评价等级：“ 优 ”。具体情况描述如下：</w:t>
      </w:r>
    </w:p>
    <w:p w14:paraId="04202BEA">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项目决策类指标权重为 20 分，得分为 18 分，得分率为 90%，扣 2 分，主要原因是绩效目标指标设置不够合理。</w:t>
      </w:r>
    </w:p>
    <w:p w14:paraId="1783F3EC">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项目管理类指标权重为 20 分，得分为 1</w:t>
      </w:r>
      <w:r>
        <w:rPr>
          <w:rFonts w:hint="eastAsia" w:cs="仿宋_GB2312"/>
          <w:highlight w:val="none"/>
          <w:lang w:val="en-US" w:eastAsia="zh-CN"/>
        </w:rPr>
        <w:t>9</w:t>
      </w:r>
      <w:r>
        <w:rPr>
          <w:rFonts w:hint="eastAsia" w:ascii="仿宋_GB2312" w:hAnsi="仿宋_GB2312" w:eastAsia="仿宋_GB2312" w:cs="仿宋_GB2312"/>
          <w:highlight w:val="none"/>
          <w:lang w:val="en-US" w:eastAsia="zh-CN"/>
        </w:rPr>
        <w:t xml:space="preserve"> 分，得分率为 </w:t>
      </w:r>
      <w:r>
        <w:rPr>
          <w:rFonts w:hint="eastAsia" w:cs="仿宋_GB2312"/>
          <w:highlight w:val="none"/>
          <w:lang w:val="en-US" w:eastAsia="zh-CN"/>
        </w:rPr>
        <w:t>9</w:t>
      </w:r>
      <w:r>
        <w:rPr>
          <w:rFonts w:hint="eastAsia" w:ascii="仿宋_GB2312" w:hAnsi="仿宋_GB2312" w:eastAsia="仿宋_GB2312" w:cs="仿宋_GB2312"/>
          <w:highlight w:val="none"/>
          <w:lang w:val="en-US" w:eastAsia="zh-CN"/>
        </w:rPr>
        <w:t xml:space="preserve">5%，扣 </w:t>
      </w:r>
      <w:r>
        <w:rPr>
          <w:rFonts w:hint="eastAsia" w:cs="仿宋_GB2312"/>
          <w:highlight w:val="none"/>
          <w:lang w:val="en-US" w:eastAsia="zh-CN"/>
        </w:rPr>
        <w:t>1</w:t>
      </w:r>
      <w:r>
        <w:rPr>
          <w:rFonts w:hint="eastAsia" w:ascii="仿宋_GB2312" w:hAnsi="仿宋_GB2312" w:eastAsia="仿宋_GB2312" w:cs="仿宋_GB2312"/>
          <w:highlight w:val="none"/>
          <w:lang w:val="en-US" w:eastAsia="zh-CN"/>
        </w:rPr>
        <w:t xml:space="preserve"> 分，主要原因是制度执行有效性有缺陷。</w:t>
      </w:r>
    </w:p>
    <w:p w14:paraId="0C6A3882">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项目产出类指标权重为 40 分，得分为 40 分，得分率为 100%。</w:t>
      </w:r>
    </w:p>
    <w:p w14:paraId="25889C05">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项目效益类指标权重为 20 分，得分为 20 分，得分率为 100%。</w:t>
      </w:r>
    </w:p>
    <w:p w14:paraId="08683C60">
      <w:pPr>
        <w:pStyle w:val="2"/>
        <w:ind w:left="0" w:leftChars="0" w:firstLine="640" w:firstLineChars="200"/>
        <w:rPr>
          <w:rFonts w:hint="eastAsia"/>
          <w:highlight w:val="none"/>
          <w:lang w:val="en-US" w:eastAsia="zh-CN"/>
        </w:rPr>
      </w:pPr>
      <w:r>
        <w:rPr>
          <w:rFonts w:hint="eastAsia" w:ascii="仿宋_GB2312" w:hAnsi="仿宋_GB2312" w:eastAsia="仿宋_GB2312" w:cs="仿宋_GB2312"/>
          <w:highlight w:val="none"/>
          <w:lang w:val="en-US" w:eastAsia="zh-CN"/>
        </w:rPr>
        <w:t>总体来说，该项目建成投产后社会效益效果较好，建议财政部门要在安排该项目次年预算资金时给予保障，避免资金链断裂情况。A2024-061、A2024-062、A2024-063、A2024-064、A2024-065克拉玛依区老旧电梯更新改造项目为惠民项目，应当力求延续项目能够持续有效开展，以期带来更高的社会效益。</w:t>
      </w:r>
    </w:p>
    <w:p w14:paraId="4B9DA8A7">
      <w:pPr>
        <w:pStyle w:val="5"/>
        <w:numPr>
          <w:ilvl w:val="0"/>
          <w:numId w:val="5"/>
        </w:numPr>
        <w:bidi w:val="0"/>
        <w:ind w:left="0" w:leftChars="0" w:firstLine="640" w:firstLineChars="0"/>
        <w:rPr>
          <w:rFonts w:hint="default"/>
          <w:highlight w:val="none"/>
          <w:lang w:val="en-US" w:eastAsia="zh-CN"/>
        </w:rPr>
      </w:pPr>
      <w:bookmarkStart w:id="33" w:name="_Toc12531"/>
      <w:bookmarkStart w:id="34" w:name="_Toc20452"/>
      <w:bookmarkStart w:id="35" w:name="_Toc14428"/>
      <w:bookmarkStart w:id="36" w:name="_Toc5797"/>
      <w:bookmarkStart w:id="37" w:name="_Toc13346"/>
      <w:r>
        <w:rPr>
          <w:rFonts w:hint="eastAsia"/>
          <w:highlight w:val="none"/>
          <w:lang w:val="en-US" w:eastAsia="zh-CN"/>
        </w:rPr>
        <w:t>预算执行情况</w:t>
      </w:r>
      <w:bookmarkEnd w:id="33"/>
      <w:bookmarkEnd w:id="34"/>
      <w:bookmarkEnd w:id="35"/>
      <w:bookmarkEnd w:id="36"/>
      <w:bookmarkEnd w:id="37"/>
    </w:p>
    <w:p w14:paraId="20469A47">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A2024-061、A2024-062、A2024-063、A2024-064、A2024-065克拉玛依区老旧电梯更新改造项目全年预算总额 390 万元，截至2024年12月31日，实际支出 390 万元，预算执行率为100%。</w:t>
      </w:r>
    </w:p>
    <w:p w14:paraId="69773D5A">
      <w:pPr>
        <w:pStyle w:val="5"/>
        <w:numPr>
          <w:ilvl w:val="0"/>
          <w:numId w:val="5"/>
        </w:numPr>
        <w:bidi w:val="0"/>
        <w:ind w:left="400" w:leftChars="0" w:firstLine="241" w:firstLineChars="75"/>
        <w:rPr>
          <w:rFonts w:hint="eastAsia"/>
          <w:highlight w:val="none"/>
          <w:lang w:val="en-US" w:eastAsia="zh-CN"/>
        </w:rPr>
      </w:pPr>
      <w:bookmarkStart w:id="38" w:name="_Toc4105"/>
      <w:bookmarkStart w:id="39" w:name="_Toc31549"/>
      <w:bookmarkStart w:id="40" w:name="_Toc10113"/>
      <w:bookmarkStart w:id="41" w:name="_Toc9196"/>
      <w:r>
        <w:rPr>
          <w:rFonts w:hint="eastAsia"/>
          <w:highlight w:val="none"/>
          <w:lang w:val="en-US" w:eastAsia="zh-CN"/>
        </w:rPr>
        <w:t>项目绩效情况</w:t>
      </w:r>
      <w:bookmarkEnd w:id="38"/>
      <w:bookmarkEnd w:id="39"/>
      <w:bookmarkEnd w:id="40"/>
      <w:bookmarkEnd w:id="41"/>
    </w:p>
    <w:p w14:paraId="54EC29DA">
      <w:pPr>
        <w:rPr>
          <w:rFonts w:hint="eastAsia" w:ascii="仿宋_GB2312" w:hAnsi="仿宋_GB2312" w:eastAsia="仿宋_GB2312" w:cs="仿宋_GB2312"/>
          <w:highlight w:val="none"/>
          <w:lang w:val="en-US" w:eastAsia="zh-CN"/>
        </w:rPr>
      </w:pPr>
      <w:bookmarkStart w:id="42" w:name="_Toc3036"/>
      <w:r>
        <w:rPr>
          <w:rFonts w:hint="eastAsia" w:ascii="仿宋_GB2312" w:hAnsi="仿宋_GB2312" w:eastAsia="仿宋_GB2312" w:cs="仿宋_GB2312"/>
          <w:highlight w:val="none"/>
          <w:lang w:val="en-US" w:eastAsia="zh-CN"/>
        </w:rPr>
        <w:t>本项目聚焦于使用年限超期、故障率高、安全性能下降的老旧电梯，严格按照国家技术规范与安全标准实施。项目期内，共计完成</w:t>
      </w:r>
      <w:r>
        <w:rPr>
          <w:rFonts w:hint="eastAsia" w:cs="仿宋_GB2312"/>
          <w:highlight w:val="none"/>
          <w:lang w:val="en-US" w:eastAsia="zh-CN"/>
        </w:rPr>
        <w:t>26</w:t>
      </w:r>
      <w:r>
        <w:rPr>
          <w:rFonts w:hint="eastAsia" w:ascii="仿宋_GB2312" w:hAnsi="仿宋_GB2312" w:eastAsia="仿宋_GB2312" w:cs="仿宋_GB2312"/>
          <w:highlight w:val="none"/>
          <w:lang w:val="en-US" w:eastAsia="zh-CN"/>
        </w:rPr>
        <w:t>台老旧电梯的全面更新或核心系统改造工作，覆盖</w:t>
      </w:r>
      <w:r>
        <w:rPr>
          <w:rFonts w:hint="eastAsia" w:cs="仿宋_GB2312"/>
          <w:highlight w:val="none"/>
          <w:lang w:val="en-US" w:eastAsia="zh-CN"/>
        </w:rPr>
        <w:t>8</w:t>
      </w:r>
      <w:r>
        <w:rPr>
          <w:rFonts w:hint="eastAsia" w:ascii="仿宋_GB2312" w:hAnsi="仿宋_GB2312" w:eastAsia="仿宋_GB2312" w:cs="仿宋_GB2312"/>
          <w:highlight w:val="none"/>
          <w:lang w:val="en-US" w:eastAsia="zh-CN"/>
        </w:rPr>
        <w:t>个住宅小区。更新后的电梯通过特种设备监督检验，各项技术指标和安全性能均达到现行国家标准</w:t>
      </w:r>
      <w:r>
        <w:rPr>
          <w:rFonts w:hint="eastAsia" w:cs="仿宋_GB2312"/>
          <w:highlight w:val="none"/>
          <w:lang w:val="en-US" w:eastAsia="zh-CN"/>
        </w:rPr>
        <w:t>，</w:t>
      </w:r>
      <w:r>
        <w:rPr>
          <w:rFonts w:hint="eastAsia" w:ascii="仿宋_GB2312" w:hAnsi="仿宋_GB2312" w:eastAsia="仿宋_GB2312" w:cs="仿宋_GB2312"/>
          <w:highlight w:val="none"/>
          <w:lang w:val="en-US" w:eastAsia="zh-CN"/>
        </w:rPr>
        <w:t>消除了原有老旧电梯存在的重大安全隐患，有效预防了潜在的安全事故，切实保障了人民群众的生命财产安全。新电梯运行平稳、噪音降低、故障率大幅下降，显著缩短了居民候梯时间，极大提升了日常出行尤其是老年人、残疾人等特殊群体便利性与舒适度，增强了居民的获得感、幸福感与安全感。解决了长期困扰居民的“上下楼难”问题，减少了因电梯故障引发的邻里纠纷，营造了更加安全、便利、和谐的居住环境。老旧电梯更新改造项目已顺利完成既定目标，解决了电梯安全隐患，极大改善了民生出行条件。项目实施后，在保障公共安全、提升生活品质等方面均取得了显著的综合效益，是一项重要的惠民利民工程，为构建安全、便捷、宜居的城市环境奠定了坚实基础。</w:t>
      </w:r>
    </w:p>
    <w:p w14:paraId="2FE4B913">
      <w:pPr>
        <w:pStyle w:val="4"/>
        <w:numPr>
          <w:ilvl w:val="0"/>
          <w:numId w:val="4"/>
        </w:numPr>
        <w:bidi w:val="0"/>
        <w:rPr>
          <w:rFonts w:hint="eastAsia"/>
          <w:highlight w:val="none"/>
          <w:lang w:val="en-US" w:eastAsia="zh-CN"/>
        </w:rPr>
      </w:pPr>
      <w:bookmarkStart w:id="43" w:name="_Toc18741"/>
      <w:bookmarkStart w:id="44" w:name="_Toc17812"/>
      <w:bookmarkStart w:id="45" w:name="_Toc7165"/>
      <w:bookmarkStart w:id="46" w:name="_Toc2780"/>
      <w:r>
        <w:rPr>
          <w:rFonts w:hint="eastAsia"/>
          <w:highlight w:val="none"/>
          <w:lang w:val="en-US" w:eastAsia="zh-CN"/>
        </w:rPr>
        <w:t>主要经验及做法</w:t>
      </w:r>
      <w:bookmarkEnd w:id="42"/>
      <w:bookmarkEnd w:id="43"/>
      <w:bookmarkEnd w:id="44"/>
      <w:bookmarkEnd w:id="45"/>
      <w:bookmarkEnd w:id="46"/>
    </w:p>
    <w:p w14:paraId="04512DC8">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相比于以往，电梯更新改造所需费用除了通过业主自筹、申请物业维修基金等途径外，如今还新增了国债补贴这个途径。2024年9月，住房和城乡建设部发布国债补贴政策，重点支持登记使用15年以上的住宅老旧电梯更新改造，优先支持登记使用20年以上的住宅老旧电梯实施更新，补助标准为更新电梯每台定额补贴15万元，改造电梯每台定额补贴5万元。在此政策推动下，克拉玛依区将投入使用时间长、配置水平低、运行故障率高、安全隐患突出、群众意愿强烈的住宅电梯纳入更新范围。最终由物业公司主动牵头，物业公司联系电梯公司进行检测、报价，并同时公开征集业主们自身的需求和意愿，让业主们选择心仪的电梯品牌和换梯方案。电梯公司进行勘探报价后，根据整体费用，物业牵头制定出楼层、面积、分摊系数的“众筹方案”</w:t>
      </w:r>
      <w:r>
        <w:rPr>
          <w:rFonts w:hint="eastAsia" w:cs="仿宋_GB2312"/>
          <w:highlight w:val="none"/>
          <w:lang w:val="en-US" w:eastAsia="zh-CN"/>
        </w:rPr>
        <w:t>或使用维修基金负担</w:t>
      </w:r>
      <w:r>
        <w:rPr>
          <w:rFonts w:hint="eastAsia" w:ascii="仿宋_GB2312" w:hAnsi="仿宋_GB2312" w:eastAsia="仿宋_GB2312" w:cs="仿宋_GB2312"/>
          <w:highlight w:val="none"/>
          <w:lang w:val="en-US" w:eastAsia="zh-CN"/>
        </w:rPr>
        <w:t>额外支出部分，通过公示和表决后签订合同，启动更换流程。项目的成功涉及多个部门协同工作，通过有效的跨部门协作，确保老旧电梯更新改造项目实施的全面性和连续性。</w:t>
      </w:r>
    </w:p>
    <w:p w14:paraId="3DE6AE78">
      <w:pPr>
        <w:pStyle w:val="4"/>
        <w:numPr>
          <w:ilvl w:val="0"/>
          <w:numId w:val="4"/>
        </w:numPr>
        <w:bidi w:val="0"/>
        <w:rPr>
          <w:rFonts w:hint="eastAsia"/>
          <w:highlight w:val="none"/>
          <w:lang w:val="en-US" w:eastAsia="zh-CN"/>
        </w:rPr>
      </w:pPr>
      <w:bookmarkStart w:id="47" w:name="_Toc25616"/>
      <w:bookmarkStart w:id="48" w:name="_Toc8126"/>
      <w:bookmarkStart w:id="49" w:name="_Toc27874"/>
      <w:bookmarkStart w:id="50" w:name="_Toc336"/>
      <w:bookmarkStart w:id="51" w:name="_Toc22490"/>
      <w:r>
        <w:rPr>
          <w:rFonts w:hint="eastAsia"/>
          <w:highlight w:val="none"/>
          <w:lang w:val="en-US" w:eastAsia="zh-CN"/>
        </w:rPr>
        <w:t>存在问题</w:t>
      </w:r>
      <w:bookmarkEnd w:id="47"/>
      <w:bookmarkEnd w:id="48"/>
      <w:bookmarkEnd w:id="49"/>
      <w:bookmarkEnd w:id="50"/>
      <w:bookmarkEnd w:id="51"/>
    </w:p>
    <w:p w14:paraId="505E446F">
      <w:pPr>
        <w:pStyle w:val="5"/>
        <w:keepNext w:val="0"/>
        <w:keepLines w:val="0"/>
        <w:pageBreakBefore w:val="0"/>
        <w:numPr>
          <w:ilvl w:val="-1"/>
          <w:numId w:val="0"/>
        </w:numPr>
        <w:kinsoku/>
        <w:wordWrap/>
        <w:overflowPunct/>
        <w:topLinePunct w:val="0"/>
        <w:autoSpaceDE/>
        <w:autoSpaceDN/>
        <w:bidi w:val="0"/>
        <w:adjustRightInd/>
        <w:snapToGrid/>
        <w:spacing w:before="157" w:beforeLines="50" w:after="157" w:afterLines="50"/>
        <w:ind w:left="0" w:leftChars="0" w:firstLine="640" w:firstLineChars="0"/>
        <w:textAlignment w:val="auto"/>
        <w:rPr>
          <w:rFonts w:hint="eastAsia"/>
          <w:highlight w:val="none"/>
          <w:lang w:val="en-US" w:eastAsia="zh-CN"/>
        </w:rPr>
      </w:pPr>
      <w:bookmarkStart w:id="52" w:name="_Toc28007"/>
      <w:bookmarkStart w:id="53" w:name="_Toc16888"/>
      <w:bookmarkStart w:id="54" w:name="_Toc11999"/>
      <w:bookmarkStart w:id="55" w:name="_Toc29614"/>
      <w:bookmarkStart w:id="56" w:name="_Toc11541"/>
      <w:r>
        <w:rPr>
          <w:rFonts w:hint="eastAsia"/>
          <w:highlight w:val="none"/>
          <w:lang w:val="en-US" w:eastAsia="zh-CN"/>
        </w:rPr>
        <w:t>（一）项目管理方面</w:t>
      </w:r>
      <w:bookmarkEnd w:id="52"/>
      <w:bookmarkEnd w:id="53"/>
      <w:bookmarkEnd w:id="54"/>
      <w:bookmarkEnd w:id="55"/>
      <w:bookmarkEnd w:id="56"/>
    </w:p>
    <w:p w14:paraId="191A5E37">
      <w:pPr>
        <w:keepNext w:val="0"/>
        <w:keepLines w:val="0"/>
        <w:pageBreakBefore w:val="0"/>
        <w:numPr>
          <w:ilvl w:val="0"/>
          <w:numId w:val="6"/>
        </w:numPr>
        <w:kinsoku/>
        <w:wordWrap/>
        <w:overflowPunct/>
        <w:topLinePunct w:val="0"/>
        <w:autoSpaceDE/>
        <w:autoSpaceDN/>
        <w:bidi w:val="0"/>
        <w:adjustRightInd/>
        <w:snapToGrid/>
        <w:spacing w:before="157" w:beforeLines="50" w:after="157" w:afterLines="50"/>
        <w:ind w:left="0" w:leftChars="0" w:firstLine="643" w:firstLineChars="200"/>
        <w:textAlignment w:val="auto"/>
        <w:rPr>
          <w:rFonts w:hint="eastAsia"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计划工期与实际工期差距较大</w:t>
      </w:r>
    </w:p>
    <w:p w14:paraId="18143B45">
      <w:pPr>
        <w:keepNext w:val="0"/>
        <w:keepLines w:val="0"/>
        <w:pageBreakBefore w:val="0"/>
        <w:numPr>
          <w:ilvl w:val="0"/>
          <w:numId w:val="0"/>
        </w:numPr>
        <w:kinsoku/>
        <w:wordWrap/>
        <w:overflowPunct/>
        <w:topLinePunct w:val="0"/>
        <w:autoSpaceDE/>
        <w:autoSpaceDN/>
        <w:bidi w:val="0"/>
        <w:adjustRightInd/>
        <w:snapToGrid/>
        <w:spacing w:before="157" w:beforeLines="50" w:after="157" w:afterLines="50"/>
        <w:ind w:left="0" w:leftChars="0" w:firstLine="640" w:firstLine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A2024-061天池北小区项目资金申请报告计划竣工时间为2024年12月31日，竣工日期为2025年4月25日，</w:t>
      </w:r>
      <w:r>
        <w:rPr>
          <w:rFonts w:hint="eastAsia" w:cs="仿宋_GB2312"/>
          <w:b w:val="0"/>
          <w:bCs w:val="0"/>
          <w:sz w:val="32"/>
          <w:szCs w:val="32"/>
          <w:highlight w:val="none"/>
          <w:lang w:val="en-US" w:eastAsia="zh-CN"/>
        </w:rPr>
        <w:t>实际工期</w:t>
      </w:r>
      <w:r>
        <w:rPr>
          <w:rFonts w:hint="eastAsia" w:ascii="仿宋_GB2312" w:hAnsi="仿宋_GB2312" w:eastAsia="仿宋_GB2312" w:cs="仿宋_GB2312"/>
          <w:b w:val="0"/>
          <w:bCs w:val="0"/>
          <w:sz w:val="32"/>
          <w:szCs w:val="32"/>
          <w:highlight w:val="none"/>
          <w:lang w:val="en-US" w:eastAsia="zh-CN"/>
        </w:rPr>
        <w:t>超3个月。</w:t>
      </w:r>
    </w:p>
    <w:p w14:paraId="20178C8D">
      <w:pPr>
        <w:pStyle w:val="5"/>
        <w:numPr>
          <w:ilvl w:val="0"/>
          <w:numId w:val="0"/>
        </w:numPr>
        <w:bidi w:val="0"/>
        <w:ind w:left="0" w:leftChars="0" w:firstLine="643" w:firstLineChars="200"/>
        <w:rPr>
          <w:rFonts w:hint="eastAsia"/>
          <w:highlight w:val="none"/>
          <w:lang w:val="en-US" w:eastAsia="zh-CN"/>
        </w:rPr>
      </w:pPr>
      <w:bookmarkStart w:id="57" w:name="_Toc16786"/>
      <w:bookmarkStart w:id="58" w:name="_Toc28444"/>
      <w:bookmarkStart w:id="59" w:name="_Toc1308"/>
      <w:bookmarkStart w:id="60" w:name="_Toc6849"/>
      <w:bookmarkStart w:id="61" w:name="_Toc17304"/>
      <w:r>
        <w:rPr>
          <w:rFonts w:hint="eastAsia" w:ascii="仿宋_GB2312" w:hAnsi="仿宋_GB2312" w:eastAsia="楷体" w:cs="仿宋_GB2312"/>
          <w:b/>
          <w:kern w:val="2"/>
          <w:sz w:val="32"/>
          <w:szCs w:val="28"/>
          <w:highlight w:val="none"/>
          <w:lang w:val="en-US" w:eastAsia="zh-CN" w:bidi="ar-SA"/>
        </w:rPr>
        <w:t>（</w:t>
      </w:r>
      <w:r>
        <w:rPr>
          <w:rFonts w:hint="eastAsia" w:cs="仿宋_GB2312"/>
          <w:b/>
          <w:kern w:val="2"/>
          <w:sz w:val="32"/>
          <w:szCs w:val="28"/>
          <w:highlight w:val="none"/>
          <w:lang w:val="en-US" w:eastAsia="zh-CN" w:bidi="ar-SA"/>
        </w:rPr>
        <w:t>二</w:t>
      </w:r>
      <w:r>
        <w:rPr>
          <w:rFonts w:hint="eastAsia" w:ascii="仿宋_GB2312" w:hAnsi="仿宋_GB2312" w:eastAsia="楷体" w:cs="仿宋_GB2312"/>
          <w:b/>
          <w:kern w:val="2"/>
          <w:sz w:val="32"/>
          <w:szCs w:val="28"/>
          <w:highlight w:val="none"/>
          <w:lang w:val="en-US" w:eastAsia="zh-CN" w:bidi="ar-SA"/>
        </w:rPr>
        <w:t>）</w:t>
      </w:r>
      <w:r>
        <w:rPr>
          <w:rFonts w:hint="eastAsia"/>
          <w:highlight w:val="none"/>
          <w:lang w:val="en-US" w:eastAsia="zh-CN"/>
        </w:rPr>
        <w:t>绩效管理方面</w:t>
      </w:r>
      <w:bookmarkEnd w:id="57"/>
      <w:bookmarkEnd w:id="58"/>
      <w:bookmarkEnd w:id="59"/>
      <w:bookmarkEnd w:id="60"/>
      <w:bookmarkEnd w:id="61"/>
    </w:p>
    <w:p w14:paraId="59FAB9C1">
      <w:pPr>
        <w:numPr>
          <w:ilvl w:val="0"/>
          <w:numId w:val="7"/>
        </w:numPr>
        <w:ind w:left="0" w:leftChars="0" w:firstLine="643" w:firstLineChars="200"/>
        <w:rPr>
          <w:rFonts w:hint="eastAsia"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项目绩效目标管理工作成熟度不足</w:t>
      </w:r>
    </w:p>
    <w:p w14:paraId="5C7EB85B">
      <w:pPr>
        <w:numPr>
          <w:ilvl w:val="0"/>
          <w:numId w:val="0"/>
        </w:numPr>
        <w:ind w:left="0" w:leftChars="0" w:firstLine="640" w:firstLineChars="0"/>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项目绩效指标设置不够合理，如“政府采购率”指标，本项目不是政府采购，此指标不适用；设置“设备采购完成时间”用于反映项目时效性，但项目时效主要影响因素为工期，设备采购完成时间并不能充分反映项目时效。</w:t>
      </w:r>
    </w:p>
    <w:p w14:paraId="40FA533C">
      <w:pPr>
        <w:pStyle w:val="4"/>
        <w:numPr>
          <w:ilvl w:val="0"/>
          <w:numId w:val="4"/>
        </w:numPr>
        <w:bidi w:val="0"/>
        <w:rPr>
          <w:rFonts w:hint="eastAsia"/>
          <w:highlight w:val="none"/>
          <w:lang w:val="en-US" w:eastAsia="zh-CN"/>
        </w:rPr>
      </w:pPr>
      <w:bookmarkStart w:id="62" w:name="_Toc2401"/>
      <w:bookmarkStart w:id="63" w:name="_Toc25490"/>
      <w:bookmarkStart w:id="64" w:name="_Toc6016"/>
      <w:bookmarkStart w:id="65" w:name="_Toc26852"/>
      <w:bookmarkStart w:id="66" w:name="_Toc3458"/>
      <w:r>
        <w:rPr>
          <w:rFonts w:hint="eastAsia"/>
          <w:highlight w:val="none"/>
          <w:lang w:val="en-US" w:eastAsia="zh-CN"/>
        </w:rPr>
        <w:t>针对问题提出的建议</w:t>
      </w:r>
      <w:bookmarkEnd w:id="62"/>
      <w:bookmarkEnd w:id="63"/>
      <w:bookmarkEnd w:id="64"/>
      <w:bookmarkEnd w:id="65"/>
      <w:bookmarkEnd w:id="66"/>
    </w:p>
    <w:p w14:paraId="3F1C1CFB">
      <w:pPr>
        <w:bidi w:val="0"/>
        <w:ind w:left="0" w:leftChars="0" w:firstLine="640" w:firstLineChars="0"/>
        <w:outlineLvl w:val="2"/>
        <w:rPr>
          <w:rFonts w:hint="eastAsia" w:ascii="楷体" w:hAnsi="楷体" w:eastAsia="楷体" w:cs="楷体"/>
          <w:b/>
          <w:bCs w:val="0"/>
          <w:highlight w:val="none"/>
          <w:lang w:val="en-US" w:eastAsia="zh-CN"/>
        </w:rPr>
      </w:pPr>
      <w:bookmarkStart w:id="67" w:name="_Toc3430"/>
      <w:bookmarkStart w:id="68" w:name="_Toc24471"/>
      <w:bookmarkStart w:id="69" w:name="_Toc12397"/>
      <w:bookmarkStart w:id="70" w:name="_Toc24795"/>
      <w:bookmarkStart w:id="71" w:name="_Toc15128"/>
      <w:r>
        <w:rPr>
          <w:rFonts w:hint="eastAsia" w:ascii="楷体" w:hAnsi="楷体" w:eastAsia="楷体" w:cs="楷体"/>
          <w:b/>
          <w:bCs w:val="0"/>
          <w:kern w:val="2"/>
          <w:sz w:val="32"/>
          <w:szCs w:val="28"/>
          <w:highlight w:val="none"/>
          <w:lang w:val="en-US" w:eastAsia="zh-CN" w:bidi="ar-SA"/>
        </w:rPr>
        <w:t>（一）</w:t>
      </w:r>
      <w:r>
        <w:rPr>
          <w:rFonts w:hint="eastAsia" w:ascii="楷体" w:hAnsi="楷体" w:eastAsia="楷体" w:cs="楷体"/>
          <w:b/>
          <w:bCs w:val="0"/>
          <w:highlight w:val="none"/>
          <w:lang w:val="en-US" w:eastAsia="zh-CN"/>
        </w:rPr>
        <w:t>项目管理方面</w:t>
      </w:r>
      <w:bookmarkEnd w:id="67"/>
      <w:bookmarkEnd w:id="68"/>
      <w:bookmarkEnd w:id="69"/>
      <w:bookmarkEnd w:id="70"/>
      <w:bookmarkEnd w:id="71"/>
    </w:p>
    <w:p w14:paraId="735AA805">
      <w:pPr>
        <w:numPr>
          <w:ilvl w:val="0"/>
          <w:numId w:val="8"/>
        </w:numPr>
        <w:ind w:left="0" w:leftChars="0" w:firstLine="643" w:firstLineChars="200"/>
        <w:rPr>
          <w:rFonts w:hint="eastAsia"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提升项目管理水平，确保项目进度</w:t>
      </w:r>
    </w:p>
    <w:p w14:paraId="14656D4A">
      <w:pPr>
        <w:bidi w:val="0"/>
        <w:rPr>
          <w:rFonts w:hint="eastAsia"/>
          <w:highlight w:val="none"/>
          <w:lang w:val="en-US" w:eastAsia="zh-CN"/>
        </w:rPr>
      </w:pPr>
      <w:r>
        <w:rPr>
          <w:rFonts w:hint="eastAsia"/>
          <w:highlight w:val="none"/>
          <w:lang w:val="en-US" w:eastAsia="zh-CN"/>
        </w:rPr>
        <w:t>建议克拉玛依区住房和城乡建设局申报此类项目时，应基于资金实际下达时间、业主决策周期、设备生产周期及春节等不可抗力因素，科学设置计划竣工时间，避免计划与执行严重脱节。同时，考核应区分因客观流程导致的合理延后与因管理不力造成的延误，实施差异化评价，重在保障工程质量与施工安全。</w:t>
      </w:r>
    </w:p>
    <w:p w14:paraId="707A91A0">
      <w:pPr>
        <w:bidi w:val="0"/>
        <w:ind w:firstLine="0" w:firstLineChars="0"/>
        <w:rPr>
          <w:rFonts w:hint="eastAsia"/>
          <w:highlight w:val="none"/>
          <w:lang w:val="en-US" w:eastAsia="zh-CN"/>
        </w:rPr>
      </w:pPr>
    </w:p>
    <w:p w14:paraId="39CD7836">
      <w:pPr>
        <w:pStyle w:val="5"/>
        <w:numPr>
          <w:ilvl w:val="0"/>
          <w:numId w:val="0"/>
        </w:numPr>
        <w:bidi w:val="0"/>
        <w:ind w:left="0" w:leftChars="0" w:firstLine="643" w:firstLineChars="200"/>
        <w:rPr>
          <w:rFonts w:hint="eastAsia"/>
          <w:highlight w:val="none"/>
          <w:lang w:val="en-US" w:eastAsia="zh-CN"/>
        </w:rPr>
      </w:pPr>
      <w:bookmarkStart w:id="72" w:name="_Toc22695"/>
      <w:bookmarkStart w:id="73" w:name="_Toc6759"/>
      <w:bookmarkStart w:id="74" w:name="_Toc24465"/>
      <w:bookmarkStart w:id="75" w:name="_Toc30212"/>
      <w:bookmarkStart w:id="76" w:name="_Toc26946"/>
      <w:r>
        <w:rPr>
          <w:rFonts w:hint="eastAsia" w:ascii="仿宋_GB2312" w:hAnsi="仿宋_GB2312" w:eastAsia="楷体" w:cs="仿宋_GB2312"/>
          <w:b/>
          <w:kern w:val="2"/>
          <w:sz w:val="32"/>
          <w:szCs w:val="28"/>
          <w:highlight w:val="none"/>
          <w:lang w:val="en-US" w:eastAsia="zh-CN" w:bidi="ar-SA"/>
        </w:rPr>
        <w:t>（</w:t>
      </w:r>
      <w:r>
        <w:rPr>
          <w:rFonts w:hint="eastAsia" w:cs="仿宋_GB2312"/>
          <w:b/>
          <w:kern w:val="2"/>
          <w:sz w:val="32"/>
          <w:szCs w:val="28"/>
          <w:highlight w:val="none"/>
          <w:lang w:val="en-US" w:eastAsia="zh-CN" w:bidi="ar-SA"/>
        </w:rPr>
        <w:t>二</w:t>
      </w:r>
      <w:r>
        <w:rPr>
          <w:rFonts w:hint="eastAsia" w:ascii="仿宋_GB2312" w:hAnsi="仿宋_GB2312" w:eastAsia="楷体" w:cs="仿宋_GB2312"/>
          <w:b/>
          <w:kern w:val="2"/>
          <w:sz w:val="32"/>
          <w:szCs w:val="28"/>
          <w:highlight w:val="none"/>
          <w:lang w:val="en-US" w:eastAsia="zh-CN" w:bidi="ar-SA"/>
        </w:rPr>
        <w:t>）</w:t>
      </w:r>
      <w:r>
        <w:rPr>
          <w:rFonts w:hint="eastAsia"/>
          <w:highlight w:val="none"/>
          <w:lang w:val="en-US" w:eastAsia="zh-CN"/>
        </w:rPr>
        <w:t>绩效管理方面</w:t>
      </w:r>
      <w:bookmarkEnd w:id="72"/>
      <w:bookmarkEnd w:id="73"/>
      <w:bookmarkEnd w:id="74"/>
      <w:bookmarkEnd w:id="75"/>
      <w:bookmarkEnd w:id="76"/>
    </w:p>
    <w:p w14:paraId="2923C65E">
      <w:pPr>
        <w:numPr>
          <w:ilvl w:val="0"/>
          <w:numId w:val="9"/>
        </w:numPr>
        <w:ind w:left="0" w:leftChars="0" w:firstLine="643" w:firstLineChars="200"/>
        <w:rPr>
          <w:rFonts w:hint="eastAsia"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加强绩效目标管理，提升绩效目标编制水平</w:t>
      </w:r>
    </w:p>
    <w:p w14:paraId="4245D2C7">
      <w:pPr>
        <w:bidi w:val="0"/>
        <w:rPr>
          <w:rFonts w:hint="eastAsia"/>
          <w:highlight w:val="none"/>
          <w:lang w:val="en-US" w:eastAsia="zh-CN"/>
        </w:rPr>
      </w:pPr>
      <w:r>
        <w:rPr>
          <w:rFonts w:hint="eastAsia"/>
          <w:highlight w:val="none"/>
          <w:lang w:val="en-US" w:eastAsia="zh-CN"/>
        </w:rPr>
        <w:t>加强学习研究，提高绩效目标科学性。建议克拉玛依区住房和城乡建设局加强对预算绩效管理相关规章制度的学习和研究，严格按照“指向明确、细化量化、合理可行、相应匹配”的原则编制项目绩效目标，提高绩效目标设置的科学性。</w:t>
      </w:r>
    </w:p>
    <w:p w14:paraId="352FF3D8">
      <w:pPr>
        <w:pStyle w:val="4"/>
        <w:numPr>
          <w:ilvl w:val="0"/>
          <w:numId w:val="4"/>
        </w:numPr>
        <w:bidi w:val="0"/>
        <w:rPr>
          <w:rFonts w:hint="eastAsia"/>
          <w:highlight w:val="none"/>
          <w:lang w:val="en-US" w:eastAsia="zh-CN"/>
        </w:rPr>
      </w:pPr>
      <w:bookmarkStart w:id="77" w:name="_Toc25384"/>
      <w:bookmarkStart w:id="78" w:name="_Toc16143"/>
      <w:bookmarkStart w:id="79" w:name="_Toc2951"/>
      <w:bookmarkStart w:id="80" w:name="_Toc22453"/>
      <w:bookmarkStart w:id="81" w:name="_Toc6121"/>
      <w:r>
        <w:rPr>
          <w:rFonts w:hint="eastAsia"/>
          <w:highlight w:val="none"/>
          <w:lang w:val="en-US" w:eastAsia="zh-CN"/>
        </w:rPr>
        <w:t>绩效评价结果应用建议</w:t>
      </w:r>
      <w:bookmarkEnd w:id="77"/>
      <w:bookmarkEnd w:id="78"/>
      <w:bookmarkEnd w:id="79"/>
      <w:bookmarkEnd w:id="80"/>
      <w:bookmarkEnd w:id="81"/>
    </w:p>
    <w:p w14:paraId="32FB7DEC">
      <w:pPr>
        <w:pStyle w:val="5"/>
        <w:numPr>
          <w:ilvl w:val="0"/>
          <w:numId w:val="0"/>
        </w:numPr>
        <w:bidi w:val="0"/>
        <w:ind w:left="420" w:leftChars="0" w:firstLine="218" w:firstLineChars="68"/>
        <w:rPr>
          <w:rFonts w:hint="eastAsia"/>
          <w:highlight w:val="none"/>
          <w:lang w:val="en-US" w:eastAsia="zh-CN"/>
        </w:rPr>
      </w:pPr>
      <w:bookmarkStart w:id="82" w:name="_Toc3873"/>
      <w:bookmarkStart w:id="83" w:name="_Toc12489"/>
      <w:bookmarkStart w:id="84" w:name="_Toc2470"/>
      <w:bookmarkStart w:id="85" w:name="_Toc21704"/>
      <w:bookmarkStart w:id="86" w:name="_Toc18719"/>
      <w:r>
        <w:rPr>
          <w:rFonts w:hint="eastAsia" w:ascii="仿宋_GB2312" w:hAnsi="仿宋_GB2312" w:eastAsia="楷体" w:cs="仿宋_GB2312"/>
          <w:b/>
          <w:kern w:val="2"/>
          <w:sz w:val="32"/>
          <w:szCs w:val="28"/>
          <w:highlight w:val="none"/>
          <w:lang w:val="en-US" w:eastAsia="zh-CN" w:bidi="ar-SA"/>
        </w:rPr>
        <w:t>（</w:t>
      </w:r>
      <w:r>
        <w:rPr>
          <w:rFonts w:hint="eastAsia" w:cs="仿宋_GB2312"/>
          <w:b/>
          <w:kern w:val="2"/>
          <w:sz w:val="32"/>
          <w:szCs w:val="28"/>
          <w:highlight w:val="none"/>
          <w:lang w:val="en-US" w:eastAsia="zh-CN" w:bidi="ar-SA"/>
        </w:rPr>
        <w:t>一</w:t>
      </w:r>
      <w:r>
        <w:rPr>
          <w:rFonts w:hint="eastAsia" w:ascii="仿宋_GB2312" w:hAnsi="仿宋_GB2312" w:eastAsia="楷体" w:cs="仿宋_GB2312"/>
          <w:b/>
          <w:kern w:val="2"/>
          <w:sz w:val="32"/>
          <w:szCs w:val="28"/>
          <w:highlight w:val="none"/>
          <w:lang w:val="en-US" w:eastAsia="zh-CN" w:bidi="ar-SA"/>
        </w:rPr>
        <w:t>）</w:t>
      </w:r>
      <w:r>
        <w:rPr>
          <w:rFonts w:hint="eastAsia"/>
          <w:highlight w:val="none"/>
          <w:lang w:val="en-US" w:eastAsia="zh-CN"/>
        </w:rPr>
        <w:t>对评价中发现的问题进行整改</w:t>
      </w:r>
      <w:bookmarkEnd w:id="82"/>
      <w:bookmarkEnd w:id="83"/>
      <w:bookmarkEnd w:id="84"/>
      <w:bookmarkEnd w:id="85"/>
      <w:bookmarkEnd w:id="86"/>
    </w:p>
    <w:p w14:paraId="791EC944">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建议克拉玛依区住房和城乡建设局对标对表、拉单列表，及时研究制定整改措施，确定整改期限，积极整改，加强制度建设，健全完善资金管理、项目管理和绩效管理等相关制度和办法，按期完成整改任务。</w:t>
      </w:r>
    </w:p>
    <w:p w14:paraId="1023B67C">
      <w:pPr>
        <w:pStyle w:val="5"/>
        <w:numPr>
          <w:ilvl w:val="0"/>
          <w:numId w:val="0"/>
        </w:numPr>
        <w:bidi w:val="0"/>
        <w:ind w:left="420" w:leftChars="0" w:firstLine="218" w:firstLineChars="68"/>
        <w:rPr>
          <w:rFonts w:hint="eastAsia"/>
          <w:highlight w:val="none"/>
          <w:lang w:val="en-US" w:eastAsia="zh-CN"/>
        </w:rPr>
      </w:pPr>
      <w:bookmarkStart w:id="87" w:name="_Toc23794"/>
      <w:bookmarkStart w:id="88" w:name="_Toc17169"/>
      <w:bookmarkStart w:id="89" w:name="_Toc13424"/>
      <w:bookmarkStart w:id="90" w:name="_Toc20398"/>
      <w:bookmarkStart w:id="91" w:name="_Toc23662"/>
      <w:r>
        <w:rPr>
          <w:rFonts w:hint="eastAsia" w:ascii="仿宋_GB2312" w:hAnsi="仿宋_GB2312" w:eastAsia="楷体" w:cs="仿宋_GB2312"/>
          <w:b/>
          <w:kern w:val="2"/>
          <w:sz w:val="32"/>
          <w:szCs w:val="28"/>
          <w:highlight w:val="none"/>
          <w:lang w:val="en-US" w:eastAsia="zh-CN" w:bidi="ar-SA"/>
        </w:rPr>
        <w:t>（</w:t>
      </w:r>
      <w:r>
        <w:rPr>
          <w:rFonts w:hint="eastAsia" w:cs="仿宋_GB2312"/>
          <w:b/>
          <w:kern w:val="2"/>
          <w:sz w:val="32"/>
          <w:szCs w:val="28"/>
          <w:highlight w:val="none"/>
          <w:lang w:val="en-US" w:eastAsia="zh-CN" w:bidi="ar-SA"/>
        </w:rPr>
        <w:t>二</w:t>
      </w:r>
      <w:r>
        <w:rPr>
          <w:rFonts w:hint="eastAsia" w:ascii="仿宋_GB2312" w:hAnsi="仿宋_GB2312" w:eastAsia="楷体" w:cs="仿宋_GB2312"/>
          <w:b/>
          <w:kern w:val="2"/>
          <w:sz w:val="32"/>
          <w:szCs w:val="28"/>
          <w:highlight w:val="none"/>
          <w:lang w:val="en-US" w:eastAsia="zh-CN" w:bidi="ar-SA"/>
        </w:rPr>
        <w:t>）</w:t>
      </w:r>
      <w:r>
        <w:rPr>
          <w:rFonts w:hint="eastAsia"/>
          <w:highlight w:val="none"/>
          <w:lang w:val="en-US" w:eastAsia="zh-CN"/>
        </w:rPr>
        <w:t>下一年度预算安排</w:t>
      </w:r>
      <w:bookmarkEnd w:id="87"/>
      <w:bookmarkEnd w:id="88"/>
      <w:bookmarkEnd w:id="89"/>
      <w:bookmarkEnd w:id="90"/>
      <w:bookmarkEnd w:id="91"/>
    </w:p>
    <w:p w14:paraId="22EF6FE1">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建议根据克拉玛依区财政局关于预算绩效管理相关政策要求，将本次重点项目绩效评价结果作为克拉玛依区住房和城乡建设局次年类似资金安排的参考依据，逐步健全绩效管理激励约束机制，促使部门履行好预算绩效管理的主体责任，促进克拉玛依区住房和城乡建设局的预算编制更精准更科学更完整，绩效目标设置更明确更细化更全面，切实提高财政资源配置效率和使用效率。</w:t>
      </w:r>
    </w:p>
    <w:p w14:paraId="2FDB6948">
      <w:pPr>
        <w:pStyle w:val="5"/>
        <w:numPr>
          <w:ilvl w:val="0"/>
          <w:numId w:val="0"/>
        </w:numPr>
        <w:bidi w:val="0"/>
        <w:ind w:left="420" w:leftChars="0" w:firstLine="218" w:firstLineChars="68"/>
        <w:rPr>
          <w:rFonts w:hint="eastAsia"/>
          <w:highlight w:val="none"/>
          <w:lang w:val="en-US" w:eastAsia="zh-CN"/>
        </w:rPr>
      </w:pPr>
      <w:bookmarkStart w:id="92" w:name="_Toc7483"/>
      <w:bookmarkStart w:id="93" w:name="_Toc17067"/>
      <w:bookmarkStart w:id="94" w:name="_Toc7460"/>
      <w:bookmarkStart w:id="95" w:name="_Toc16408"/>
      <w:bookmarkStart w:id="96" w:name="_Toc31515"/>
      <w:r>
        <w:rPr>
          <w:rFonts w:hint="eastAsia" w:ascii="仿宋_GB2312" w:hAnsi="仿宋_GB2312" w:eastAsia="楷体" w:cs="仿宋_GB2312"/>
          <w:b/>
          <w:kern w:val="2"/>
          <w:sz w:val="32"/>
          <w:szCs w:val="28"/>
          <w:highlight w:val="none"/>
          <w:lang w:val="en-US" w:eastAsia="zh-CN" w:bidi="ar-SA"/>
        </w:rPr>
        <w:t>（</w:t>
      </w:r>
      <w:r>
        <w:rPr>
          <w:rFonts w:hint="eastAsia" w:cs="仿宋_GB2312"/>
          <w:b/>
          <w:kern w:val="2"/>
          <w:sz w:val="32"/>
          <w:szCs w:val="28"/>
          <w:highlight w:val="none"/>
          <w:lang w:val="en-US" w:eastAsia="zh-CN" w:bidi="ar-SA"/>
        </w:rPr>
        <w:t>三</w:t>
      </w:r>
      <w:r>
        <w:rPr>
          <w:rFonts w:hint="eastAsia" w:ascii="仿宋_GB2312" w:hAnsi="仿宋_GB2312" w:eastAsia="楷体" w:cs="仿宋_GB2312"/>
          <w:b/>
          <w:kern w:val="2"/>
          <w:sz w:val="32"/>
          <w:szCs w:val="28"/>
          <w:highlight w:val="none"/>
          <w:lang w:val="en-US" w:eastAsia="zh-CN" w:bidi="ar-SA"/>
        </w:rPr>
        <w:t>）</w:t>
      </w:r>
      <w:r>
        <w:rPr>
          <w:rFonts w:hint="eastAsia"/>
          <w:highlight w:val="none"/>
          <w:lang w:val="en-US" w:eastAsia="zh-CN"/>
        </w:rPr>
        <w:t>评价结果公开</w:t>
      </w:r>
      <w:bookmarkEnd w:id="92"/>
      <w:bookmarkEnd w:id="93"/>
      <w:bookmarkEnd w:id="94"/>
      <w:bookmarkEnd w:id="95"/>
      <w:bookmarkEnd w:id="96"/>
    </w:p>
    <w:p w14:paraId="5360B6A0">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建议按照政府信息公开等有关要求，遵循“谁组织实施、谁进行公开”的原则，根据上级统一部署，对绩效评价结果采取适度公开，提升绩效评价社会参与度。</w:t>
      </w:r>
    </w:p>
    <w:p w14:paraId="5762F6FD">
      <w:pPr>
        <w:rPr>
          <w:rFonts w:hint="eastAsia" w:ascii="仿宋_GB2312" w:hAnsi="仿宋_GB2312" w:eastAsia="仿宋_GB2312" w:cs="仿宋_GB2312"/>
          <w:highlight w:val="none"/>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sdt>
      <w:sdtPr>
        <w:rPr>
          <w:rFonts w:hint="eastAsia" w:ascii="仿宋_GB2312" w:hAnsi="仿宋_GB2312" w:eastAsia="仿宋_GB2312" w:cs="仿宋_GB2312"/>
          <w:kern w:val="2"/>
          <w:sz w:val="44"/>
          <w:szCs w:val="44"/>
          <w:highlight w:val="none"/>
          <w:lang w:val="en-US" w:eastAsia="zh-CN" w:bidi="ar-SA"/>
        </w:rPr>
        <w:id w:val="147460423"/>
        <w15:color w:val="DBDBDB"/>
        <w:docPartObj>
          <w:docPartGallery w:val="Table of Contents"/>
          <w:docPartUnique/>
        </w:docPartObj>
      </w:sdtPr>
      <w:sdtEndPr>
        <w:rPr>
          <w:rFonts w:hint="eastAsia" w:ascii="仿宋_GB2312" w:hAnsi="仿宋_GB2312" w:eastAsia="仿宋_GB2312" w:cs="仿宋_GB2312"/>
          <w:kern w:val="2"/>
          <w:sz w:val="24"/>
          <w:szCs w:val="24"/>
          <w:highlight w:val="none"/>
          <w:lang w:val="en-US" w:eastAsia="zh-CN" w:bidi="ar-SA"/>
        </w:rPr>
      </w:sdtEndPr>
      <w:sdtContent>
        <w:p w14:paraId="66372800">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center"/>
            <w:textAlignment w:val="auto"/>
            <w:rPr>
              <w:rFonts w:hint="eastAsia" w:ascii="仿宋_GB2312" w:hAnsi="仿宋_GB2312" w:eastAsia="仿宋_GB2312" w:cs="仿宋_GB2312"/>
              <w:kern w:val="2"/>
              <w:sz w:val="32"/>
              <w:szCs w:val="24"/>
              <w:highlight w:val="none"/>
              <w:lang w:val="en-US" w:eastAsia="zh-CN" w:bidi="ar-SA"/>
            </w:rPr>
          </w:pPr>
          <w:r>
            <w:rPr>
              <w:rFonts w:hint="eastAsia" w:ascii="黑体" w:hAnsi="黑体" w:eastAsia="黑体" w:cs="黑体"/>
              <w:b/>
              <w:bCs/>
              <w:sz w:val="44"/>
              <w:szCs w:val="44"/>
              <w:highlight w:val="none"/>
            </w:rPr>
            <w:t>目录</w:t>
          </w:r>
          <w:r>
            <w:rPr>
              <w:rFonts w:hint="eastAsia" w:ascii="仿宋_GB2312" w:hAnsi="仿宋_GB2312" w:eastAsia="仿宋_GB2312" w:cs="仿宋_GB2312"/>
              <w:kern w:val="2"/>
              <w:sz w:val="24"/>
              <w:szCs w:val="24"/>
              <w:highlight w:val="none"/>
              <w:lang w:val="en-US" w:eastAsia="zh-CN" w:bidi="ar-SA"/>
            </w:rPr>
            <w:fldChar w:fldCharType="begin"/>
          </w:r>
          <w:r>
            <w:rPr>
              <w:rFonts w:hint="eastAsia" w:ascii="仿宋_GB2312" w:hAnsi="仿宋_GB2312" w:eastAsia="仿宋_GB2312" w:cs="仿宋_GB2312"/>
              <w:kern w:val="2"/>
              <w:sz w:val="24"/>
              <w:szCs w:val="24"/>
              <w:highlight w:val="none"/>
              <w:lang w:val="en-US" w:eastAsia="zh-CN" w:bidi="ar-SA"/>
            </w:rPr>
            <w:instrText xml:space="preserve">TOC \o "1-3" \h \u </w:instrText>
          </w:r>
          <w:r>
            <w:rPr>
              <w:rFonts w:hint="eastAsia" w:ascii="仿宋_GB2312" w:hAnsi="仿宋_GB2312" w:eastAsia="仿宋_GB2312" w:cs="仿宋_GB2312"/>
              <w:kern w:val="2"/>
              <w:sz w:val="24"/>
              <w:szCs w:val="24"/>
              <w:highlight w:val="none"/>
              <w:lang w:val="en-US" w:eastAsia="zh-CN" w:bidi="ar-SA"/>
            </w:rPr>
            <w:fldChar w:fldCharType="separate"/>
          </w:r>
        </w:p>
        <w:p w14:paraId="1ED1DE6A">
          <w:pPr>
            <w:pStyle w:val="11"/>
            <w:tabs>
              <w:tab w:val="right" w:leader="dot" w:pos="8306"/>
            </w:tabs>
            <w:ind w:firstLine="0" w:firstLineChars="0"/>
            <w:rPr>
              <w:rFonts w:hint="eastAsia" w:eastAsia="仿宋_GB2312"/>
              <w:highlight w:val="none"/>
              <w:lang w:eastAsia="zh-CN"/>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_Toc2427 </w:instrText>
          </w:r>
          <w:r>
            <w:rPr>
              <w:rFonts w:hint="eastAsia" w:ascii="仿宋_GB2312" w:hAnsi="仿宋_GB2312" w:eastAsia="仿宋_GB2312" w:cs="仿宋_GB2312"/>
              <w:kern w:val="2"/>
              <w:szCs w:val="24"/>
              <w:highlight w:val="none"/>
              <w:lang w:val="en-US" w:eastAsia="zh-CN" w:bidi="ar-SA"/>
            </w:rPr>
            <w:fldChar w:fldCharType="separate"/>
          </w:r>
          <w:r>
            <w:rPr>
              <w:rFonts w:hint="eastAsia" w:ascii="黑体" w:hAnsi="黑体" w:eastAsia="黑体" w:cs="黑体"/>
              <w:highlight w:val="none"/>
              <w:lang w:val="en-US" w:eastAsia="zh-CN"/>
            </w:rPr>
            <w:t>摘要</w:t>
          </w:r>
          <w:r>
            <w:rPr>
              <w:highlight w:val="none"/>
            </w:rPr>
            <w:tab/>
          </w:r>
          <w:r>
            <w:rPr>
              <w:rFonts w:hint="eastAsia" w:ascii="仿宋_GB2312" w:hAnsi="仿宋_GB2312" w:eastAsia="仿宋_GB2312" w:cs="仿宋_GB2312"/>
              <w:kern w:val="2"/>
              <w:szCs w:val="24"/>
              <w:highlight w:val="none"/>
              <w:lang w:val="en-US" w:eastAsia="zh-CN" w:bidi="ar-SA"/>
            </w:rPr>
            <w:fldChar w:fldCharType="end"/>
          </w:r>
          <w:r>
            <w:rPr>
              <w:rFonts w:hint="eastAsia"/>
              <w:highlight w:val="none"/>
              <w:lang w:val="en-US" w:eastAsia="zh-CN"/>
            </w:rPr>
            <w:t>1</w:t>
          </w:r>
        </w:p>
        <w:p w14:paraId="149DF31D">
          <w:pPr>
            <w:pStyle w:val="13"/>
            <w:tabs>
              <w:tab w:val="right" w:leader="dot" w:pos="8306"/>
            </w:tabs>
            <w:ind w:left="0" w:leftChars="0" w:firstLine="0" w:firstLineChars="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_Toc18433 </w:instrText>
          </w:r>
          <w:r>
            <w:rPr>
              <w:rFonts w:hint="eastAsia" w:ascii="仿宋_GB2312" w:hAnsi="仿宋_GB2312" w:eastAsia="仿宋_GB2312" w:cs="仿宋_GB2312"/>
              <w:kern w:val="2"/>
              <w:szCs w:val="24"/>
              <w:highlight w:val="none"/>
              <w:lang w:val="en-US" w:eastAsia="zh-CN" w:bidi="ar-SA"/>
            </w:rPr>
            <w:fldChar w:fldCharType="separate"/>
          </w:r>
          <w:r>
            <w:rPr>
              <w:rFonts w:hint="eastAsia"/>
              <w:highlight w:val="none"/>
              <w:lang w:val="en-US" w:eastAsia="zh-CN"/>
            </w:rPr>
            <w:t>一、 基本情况</w:t>
          </w:r>
          <w:r>
            <w:rPr>
              <w:highlight w:val="none"/>
            </w:rPr>
            <w:tab/>
          </w:r>
          <w:r>
            <w:rPr>
              <w:highlight w:val="none"/>
            </w:rPr>
            <w:fldChar w:fldCharType="begin"/>
          </w:r>
          <w:r>
            <w:rPr>
              <w:highlight w:val="none"/>
            </w:rPr>
            <w:instrText xml:space="preserve"> PAGEREF _Toc18433 \h </w:instrText>
          </w:r>
          <w:r>
            <w:rPr>
              <w:highlight w:val="none"/>
            </w:rPr>
            <w:fldChar w:fldCharType="separate"/>
          </w:r>
          <w:r>
            <w:rPr>
              <w:highlight w:val="none"/>
            </w:rPr>
            <w:t>1</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26D24813">
          <w:pPr>
            <w:pStyle w:val="8"/>
            <w:tabs>
              <w:tab w:val="right" w:leader="dot" w:pos="8306"/>
            </w:tabs>
            <w:ind w:left="0" w:leftChars="0" w:firstLine="64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_Toc20846 </w:instrText>
          </w:r>
          <w:r>
            <w:rPr>
              <w:rFonts w:hint="eastAsia" w:ascii="仿宋_GB2312" w:hAnsi="仿宋_GB2312" w:eastAsia="仿宋_GB2312" w:cs="仿宋_GB2312"/>
              <w:kern w:val="2"/>
              <w:szCs w:val="24"/>
              <w:highlight w:val="none"/>
              <w:lang w:val="en-US" w:eastAsia="zh-CN" w:bidi="ar-SA"/>
            </w:rPr>
            <w:fldChar w:fldCharType="separate"/>
          </w:r>
          <w:r>
            <w:rPr>
              <w:rFonts w:hint="eastAsia"/>
              <w:highlight w:val="none"/>
              <w:lang w:val="en-US" w:eastAsia="zh-CN"/>
            </w:rPr>
            <w:t>（一） 项目概况</w:t>
          </w:r>
          <w:r>
            <w:rPr>
              <w:highlight w:val="none"/>
            </w:rPr>
            <w:tab/>
          </w:r>
          <w:r>
            <w:rPr>
              <w:highlight w:val="none"/>
            </w:rPr>
            <w:fldChar w:fldCharType="begin"/>
          </w:r>
          <w:r>
            <w:rPr>
              <w:highlight w:val="none"/>
            </w:rPr>
            <w:instrText xml:space="preserve"> PAGEREF _Toc20846 \h </w:instrText>
          </w:r>
          <w:r>
            <w:rPr>
              <w:highlight w:val="none"/>
            </w:rPr>
            <w:fldChar w:fldCharType="separate"/>
          </w:r>
          <w:r>
            <w:rPr>
              <w:highlight w:val="none"/>
            </w:rPr>
            <w:t>1</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015B12DB">
          <w:pPr>
            <w:pStyle w:val="8"/>
            <w:tabs>
              <w:tab w:val="right" w:leader="dot" w:pos="8306"/>
            </w:tabs>
            <w:ind w:left="0" w:leftChars="0" w:firstLine="64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_Toc14154 </w:instrText>
          </w:r>
          <w:r>
            <w:rPr>
              <w:rFonts w:hint="eastAsia" w:ascii="仿宋_GB2312" w:hAnsi="仿宋_GB2312" w:eastAsia="仿宋_GB2312" w:cs="仿宋_GB2312"/>
              <w:kern w:val="2"/>
              <w:szCs w:val="24"/>
              <w:highlight w:val="none"/>
              <w:lang w:val="en-US" w:eastAsia="zh-CN" w:bidi="ar-SA"/>
            </w:rPr>
            <w:fldChar w:fldCharType="separate"/>
          </w:r>
          <w:r>
            <w:rPr>
              <w:rFonts w:hint="eastAsia"/>
              <w:highlight w:val="none"/>
              <w:lang w:val="en-US" w:eastAsia="zh-CN"/>
            </w:rPr>
            <w:t>（二） 项目资金安排及使用情况</w:t>
          </w:r>
          <w:r>
            <w:rPr>
              <w:highlight w:val="none"/>
            </w:rPr>
            <w:tab/>
          </w:r>
          <w:r>
            <w:rPr>
              <w:highlight w:val="none"/>
            </w:rPr>
            <w:fldChar w:fldCharType="begin"/>
          </w:r>
          <w:r>
            <w:rPr>
              <w:highlight w:val="none"/>
            </w:rPr>
            <w:instrText xml:space="preserve"> PAGEREF _Toc14154 \h </w:instrText>
          </w:r>
          <w:r>
            <w:rPr>
              <w:highlight w:val="none"/>
            </w:rPr>
            <w:fldChar w:fldCharType="separate"/>
          </w:r>
          <w:r>
            <w:rPr>
              <w:highlight w:val="none"/>
            </w:rPr>
            <w:t>5</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46D31441">
          <w:pPr>
            <w:pStyle w:val="8"/>
            <w:tabs>
              <w:tab w:val="right" w:leader="dot" w:pos="8306"/>
            </w:tabs>
            <w:ind w:left="0" w:leftChars="0" w:firstLine="64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_Toc17918 </w:instrText>
          </w:r>
          <w:r>
            <w:rPr>
              <w:rFonts w:hint="eastAsia" w:ascii="仿宋_GB2312" w:hAnsi="仿宋_GB2312" w:eastAsia="仿宋_GB2312" w:cs="仿宋_GB2312"/>
              <w:kern w:val="2"/>
              <w:szCs w:val="24"/>
              <w:highlight w:val="none"/>
              <w:lang w:val="en-US" w:eastAsia="zh-CN" w:bidi="ar-SA"/>
            </w:rPr>
            <w:fldChar w:fldCharType="separate"/>
          </w:r>
          <w:r>
            <w:rPr>
              <w:rFonts w:hint="eastAsia"/>
              <w:highlight w:val="none"/>
              <w:lang w:val="en-US" w:eastAsia="zh-CN"/>
            </w:rPr>
            <w:t>（三） 项目组织情况及实施进展情况</w:t>
          </w:r>
          <w:r>
            <w:rPr>
              <w:highlight w:val="none"/>
            </w:rPr>
            <w:tab/>
          </w:r>
          <w:r>
            <w:rPr>
              <w:highlight w:val="none"/>
            </w:rPr>
            <w:fldChar w:fldCharType="begin"/>
          </w:r>
          <w:r>
            <w:rPr>
              <w:highlight w:val="none"/>
            </w:rPr>
            <w:instrText xml:space="preserve"> PAGEREF _Toc17918 \h </w:instrText>
          </w:r>
          <w:r>
            <w:rPr>
              <w:highlight w:val="none"/>
            </w:rPr>
            <w:fldChar w:fldCharType="separate"/>
          </w:r>
          <w:r>
            <w:rPr>
              <w:highlight w:val="none"/>
            </w:rPr>
            <w:t>6</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484754BF">
          <w:pPr>
            <w:pStyle w:val="8"/>
            <w:tabs>
              <w:tab w:val="right" w:leader="dot" w:pos="8306"/>
            </w:tabs>
            <w:ind w:left="0" w:leftChars="0" w:firstLine="64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_Toc17651 </w:instrText>
          </w:r>
          <w:r>
            <w:rPr>
              <w:rFonts w:hint="eastAsia" w:ascii="仿宋_GB2312" w:hAnsi="仿宋_GB2312" w:eastAsia="仿宋_GB2312" w:cs="仿宋_GB2312"/>
              <w:kern w:val="2"/>
              <w:szCs w:val="24"/>
              <w:highlight w:val="none"/>
              <w:lang w:val="en-US" w:eastAsia="zh-CN" w:bidi="ar-SA"/>
            </w:rPr>
            <w:fldChar w:fldCharType="separate"/>
          </w:r>
          <w:r>
            <w:rPr>
              <w:rFonts w:hint="eastAsia"/>
              <w:highlight w:val="none"/>
              <w:lang w:val="en-US" w:eastAsia="zh-CN"/>
            </w:rPr>
            <w:t>（四） 项目绩效目标情况</w:t>
          </w:r>
          <w:r>
            <w:rPr>
              <w:highlight w:val="none"/>
            </w:rPr>
            <w:tab/>
          </w:r>
          <w:r>
            <w:rPr>
              <w:highlight w:val="none"/>
            </w:rPr>
            <w:fldChar w:fldCharType="begin"/>
          </w:r>
          <w:r>
            <w:rPr>
              <w:highlight w:val="none"/>
            </w:rPr>
            <w:instrText xml:space="preserve"> PAGEREF _Toc17651 \h </w:instrText>
          </w:r>
          <w:r>
            <w:rPr>
              <w:highlight w:val="none"/>
            </w:rPr>
            <w:fldChar w:fldCharType="separate"/>
          </w:r>
          <w:r>
            <w:rPr>
              <w:highlight w:val="none"/>
            </w:rPr>
            <w:t>11</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4829D4E6">
          <w:pPr>
            <w:pStyle w:val="8"/>
            <w:tabs>
              <w:tab w:val="right" w:leader="dot" w:pos="8306"/>
            </w:tabs>
            <w:ind w:left="0" w:leftChars="0" w:firstLine="64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_Toc9013 </w:instrText>
          </w:r>
          <w:r>
            <w:rPr>
              <w:rFonts w:hint="eastAsia" w:ascii="仿宋_GB2312" w:hAnsi="仿宋_GB2312" w:eastAsia="仿宋_GB2312" w:cs="仿宋_GB2312"/>
              <w:kern w:val="2"/>
              <w:szCs w:val="24"/>
              <w:highlight w:val="none"/>
              <w:lang w:val="en-US" w:eastAsia="zh-CN" w:bidi="ar-SA"/>
            </w:rPr>
            <w:fldChar w:fldCharType="separate"/>
          </w:r>
          <w:r>
            <w:rPr>
              <w:rFonts w:hint="eastAsia"/>
              <w:highlight w:val="none"/>
              <w:lang w:val="en-US" w:eastAsia="zh-CN"/>
            </w:rPr>
            <w:t>（五） 绩效自评情况及结论</w:t>
          </w:r>
          <w:r>
            <w:rPr>
              <w:highlight w:val="none"/>
            </w:rPr>
            <w:tab/>
          </w:r>
          <w:r>
            <w:rPr>
              <w:highlight w:val="none"/>
            </w:rPr>
            <w:fldChar w:fldCharType="begin"/>
          </w:r>
          <w:r>
            <w:rPr>
              <w:highlight w:val="none"/>
            </w:rPr>
            <w:instrText xml:space="preserve"> PAGEREF _Toc9013 \h </w:instrText>
          </w:r>
          <w:r>
            <w:rPr>
              <w:highlight w:val="none"/>
            </w:rPr>
            <w:fldChar w:fldCharType="separate"/>
          </w:r>
          <w:r>
            <w:rPr>
              <w:highlight w:val="none"/>
            </w:rPr>
            <w:t>11</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37806D39">
          <w:pPr>
            <w:pStyle w:val="13"/>
            <w:tabs>
              <w:tab w:val="right" w:leader="dot" w:pos="8306"/>
            </w:tabs>
            <w:ind w:left="0" w:leftChars="0" w:firstLine="0" w:firstLineChars="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_Toc20741 </w:instrText>
          </w:r>
          <w:r>
            <w:rPr>
              <w:rFonts w:hint="eastAsia" w:ascii="仿宋_GB2312" w:hAnsi="仿宋_GB2312" w:eastAsia="仿宋_GB2312" w:cs="仿宋_GB2312"/>
              <w:kern w:val="2"/>
              <w:szCs w:val="24"/>
              <w:highlight w:val="none"/>
              <w:lang w:val="en-US" w:eastAsia="zh-CN" w:bidi="ar-SA"/>
            </w:rPr>
            <w:fldChar w:fldCharType="separate"/>
          </w:r>
          <w:r>
            <w:rPr>
              <w:rFonts w:hint="eastAsia"/>
              <w:highlight w:val="none"/>
              <w:lang w:val="en-US" w:eastAsia="zh-CN"/>
            </w:rPr>
            <w:t>二、 绩效评价组织情况</w:t>
          </w:r>
          <w:r>
            <w:rPr>
              <w:highlight w:val="none"/>
            </w:rPr>
            <w:tab/>
          </w:r>
          <w:r>
            <w:rPr>
              <w:highlight w:val="none"/>
            </w:rPr>
            <w:fldChar w:fldCharType="begin"/>
          </w:r>
          <w:r>
            <w:rPr>
              <w:highlight w:val="none"/>
            </w:rPr>
            <w:instrText xml:space="preserve"> PAGEREF _Toc20741 \h </w:instrText>
          </w:r>
          <w:r>
            <w:rPr>
              <w:highlight w:val="none"/>
            </w:rPr>
            <w:fldChar w:fldCharType="separate"/>
          </w:r>
          <w:r>
            <w:rPr>
              <w:highlight w:val="none"/>
            </w:rPr>
            <w:t>11</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47A76906">
          <w:pPr>
            <w:pStyle w:val="8"/>
            <w:tabs>
              <w:tab w:val="right" w:leader="dot" w:pos="8306"/>
            </w:tabs>
            <w:ind w:left="0" w:leftChars="0" w:firstLine="64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_Toc972 </w:instrText>
          </w:r>
          <w:r>
            <w:rPr>
              <w:rFonts w:hint="eastAsia" w:ascii="仿宋_GB2312" w:hAnsi="仿宋_GB2312" w:eastAsia="仿宋_GB2312" w:cs="仿宋_GB2312"/>
              <w:kern w:val="2"/>
              <w:szCs w:val="24"/>
              <w:highlight w:val="none"/>
              <w:lang w:val="en-US" w:eastAsia="zh-CN" w:bidi="ar-SA"/>
            </w:rPr>
            <w:fldChar w:fldCharType="separate"/>
          </w:r>
          <w:r>
            <w:rPr>
              <w:rFonts w:hint="eastAsia"/>
              <w:highlight w:val="none"/>
              <w:lang w:val="en-US" w:eastAsia="zh-CN"/>
            </w:rPr>
            <w:t>（一） 绩效评价目的</w:t>
          </w:r>
          <w:r>
            <w:rPr>
              <w:highlight w:val="none"/>
            </w:rPr>
            <w:tab/>
          </w:r>
          <w:r>
            <w:rPr>
              <w:highlight w:val="none"/>
            </w:rPr>
            <w:fldChar w:fldCharType="begin"/>
          </w:r>
          <w:r>
            <w:rPr>
              <w:highlight w:val="none"/>
            </w:rPr>
            <w:instrText xml:space="preserve"> PAGEREF _Toc972 \h </w:instrText>
          </w:r>
          <w:r>
            <w:rPr>
              <w:highlight w:val="none"/>
            </w:rPr>
            <w:fldChar w:fldCharType="separate"/>
          </w:r>
          <w:r>
            <w:rPr>
              <w:highlight w:val="none"/>
            </w:rPr>
            <w:t>11</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566BE4B3">
          <w:pPr>
            <w:pStyle w:val="8"/>
            <w:tabs>
              <w:tab w:val="right" w:leader="dot" w:pos="8306"/>
            </w:tabs>
            <w:ind w:left="0" w:leftChars="0" w:firstLine="960" w:firstLineChars="30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_Toc509 </w:instrText>
          </w:r>
          <w:r>
            <w:rPr>
              <w:rFonts w:hint="eastAsia" w:ascii="仿宋_GB2312" w:hAnsi="仿宋_GB2312" w:eastAsia="仿宋_GB2312" w:cs="仿宋_GB2312"/>
              <w:kern w:val="2"/>
              <w:szCs w:val="24"/>
              <w:highlight w:val="none"/>
              <w:lang w:val="en-US" w:eastAsia="zh-CN" w:bidi="ar-SA"/>
            </w:rPr>
            <w:fldChar w:fldCharType="separate"/>
          </w:r>
          <w:r>
            <w:rPr>
              <w:rFonts w:hint="eastAsia" w:ascii="仿宋_GB2312" w:hAnsi="仿宋_GB2312" w:eastAsia="仿宋_GB2312" w:cs="仿宋_GB2312"/>
              <w:highlight w:val="none"/>
              <w:lang w:val="en-US" w:eastAsia="zh-CN"/>
            </w:rPr>
            <w:t>1. 评估项目实施效果</w:t>
          </w:r>
          <w:r>
            <w:rPr>
              <w:highlight w:val="none"/>
            </w:rPr>
            <w:tab/>
          </w:r>
          <w:r>
            <w:rPr>
              <w:highlight w:val="none"/>
            </w:rPr>
            <w:fldChar w:fldCharType="begin"/>
          </w:r>
          <w:r>
            <w:rPr>
              <w:highlight w:val="none"/>
            </w:rPr>
            <w:instrText xml:space="preserve"> PAGEREF _Toc509 \h </w:instrText>
          </w:r>
          <w:r>
            <w:rPr>
              <w:highlight w:val="none"/>
            </w:rPr>
            <w:fldChar w:fldCharType="separate"/>
          </w:r>
          <w:r>
            <w:rPr>
              <w:highlight w:val="none"/>
            </w:rPr>
            <w:t>11</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33F54171">
          <w:pPr>
            <w:pStyle w:val="8"/>
            <w:tabs>
              <w:tab w:val="right" w:leader="dot" w:pos="8306"/>
            </w:tabs>
            <w:ind w:left="0" w:leftChars="0" w:firstLine="960" w:firstLineChars="30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_Toc8781 </w:instrText>
          </w:r>
          <w:r>
            <w:rPr>
              <w:rFonts w:hint="eastAsia" w:ascii="仿宋_GB2312" w:hAnsi="仿宋_GB2312" w:eastAsia="仿宋_GB2312" w:cs="仿宋_GB2312"/>
              <w:kern w:val="2"/>
              <w:szCs w:val="24"/>
              <w:highlight w:val="none"/>
              <w:lang w:val="en-US" w:eastAsia="zh-CN" w:bidi="ar-SA"/>
            </w:rPr>
            <w:fldChar w:fldCharType="separate"/>
          </w:r>
          <w:r>
            <w:rPr>
              <w:rFonts w:hint="eastAsia" w:ascii="仿宋_GB2312" w:hAnsi="仿宋_GB2312" w:eastAsia="仿宋_GB2312" w:cs="仿宋_GB2312"/>
              <w:highlight w:val="none"/>
              <w:lang w:val="en-US" w:eastAsia="zh-CN"/>
            </w:rPr>
            <w:t>2. 提升资源利用效率</w:t>
          </w:r>
          <w:r>
            <w:rPr>
              <w:highlight w:val="none"/>
            </w:rPr>
            <w:tab/>
          </w:r>
          <w:r>
            <w:rPr>
              <w:highlight w:val="none"/>
            </w:rPr>
            <w:fldChar w:fldCharType="begin"/>
          </w:r>
          <w:r>
            <w:rPr>
              <w:highlight w:val="none"/>
            </w:rPr>
            <w:instrText xml:space="preserve"> PAGEREF _Toc8781 \h </w:instrText>
          </w:r>
          <w:r>
            <w:rPr>
              <w:highlight w:val="none"/>
            </w:rPr>
            <w:fldChar w:fldCharType="separate"/>
          </w:r>
          <w:r>
            <w:rPr>
              <w:highlight w:val="none"/>
            </w:rPr>
            <w:t>11</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70C87F05">
          <w:pPr>
            <w:pStyle w:val="8"/>
            <w:tabs>
              <w:tab w:val="right" w:leader="dot" w:pos="8306"/>
            </w:tabs>
            <w:ind w:left="0" w:leftChars="0" w:firstLine="960" w:firstLineChars="30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_Toc5481 </w:instrText>
          </w:r>
          <w:r>
            <w:rPr>
              <w:rFonts w:hint="eastAsia" w:ascii="仿宋_GB2312" w:hAnsi="仿宋_GB2312" w:eastAsia="仿宋_GB2312" w:cs="仿宋_GB2312"/>
              <w:kern w:val="2"/>
              <w:szCs w:val="24"/>
              <w:highlight w:val="none"/>
              <w:lang w:val="en-US" w:eastAsia="zh-CN" w:bidi="ar-SA"/>
            </w:rPr>
            <w:fldChar w:fldCharType="separate"/>
          </w:r>
          <w:r>
            <w:rPr>
              <w:rFonts w:hint="eastAsia" w:ascii="仿宋_GB2312" w:hAnsi="仿宋_GB2312" w:eastAsia="仿宋_GB2312" w:cs="仿宋_GB2312"/>
              <w:highlight w:val="none"/>
              <w:lang w:val="en-US" w:eastAsia="zh-CN"/>
            </w:rPr>
            <w:t>3. 强化项目管理责任</w:t>
          </w:r>
          <w:r>
            <w:rPr>
              <w:highlight w:val="none"/>
            </w:rPr>
            <w:tab/>
          </w:r>
          <w:r>
            <w:rPr>
              <w:highlight w:val="none"/>
            </w:rPr>
            <w:fldChar w:fldCharType="begin"/>
          </w:r>
          <w:r>
            <w:rPr>
              <w:highlight w:val="none"/>
            </w:rPr>
            <w:instrText xml:space="preserve"> PAGEREF _Toc5481 \h </w:instrText>
          </w:r>
          <w:r>
            <w:rPr>
              <w:highlight w:val="none"/>
            </w:rPr>
            <w:fldChar w:fldCharType="separate"/>
          </w:r>
          <w:r>
            <w:rPr>
              <w:highlight w:val="none"/>
            </w:rPr>
            <w:t>12</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546B18A0">
          <w:pPr>
            <w:pStyle w:val="8"/>
            <w:tabs>
              <w:tab w:val="right" w:leader="dot" w:pos="8306"/>
            </w:tabs>
            <w:ind w:left="0" w:leftChars="0" w:firstLine="960" w:firstLineChars="30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_Toc4576 </w:instrText>
          </w:r>
          <w:r>
            <w:rPr>
              <w:rFonts w:hint="eastAsia" w:ascii="仿宋_GB2312" w:hAnsi="仿宋_GB2312" w:eastAsia="仿宋_GB2312" w:cs="仿宋_GB2312"/>
              <w:kern w:val="2"/>
              <w:szCs w:val="24"/>
              <w:highlight w:val="none"/>
              <w:lang w:val="en-US" w:eastAsia="zh-CN" w:bidi="ar-SA"/>
            </w:rPr>
            <w:fldChar w:fldCharType="separate"/>
          </w:r>
          <w:r>
            <w:rPr>
              <w:rFonts w:hint="eastAsia" w:ascii="仿宋_GB2312" w:hAnsi="仿宋_GB2312" w:eastAsia="仿宋_GB2312" w:cs="仿宋_GB2312"/>
              <w:highlight w:val="none"/>
              <w:lang w:val="en-US" w:eastAsia="zh-CN"/>
            </w:rPr>
            <w:t>4. 为决策提供支持</w:t>
          </w:r>
          <w:r>
            <w:rPr>
              <w:highlight w:val="none"/>
            </w:rPr>
            <w:tab/>
          </w:r>
          <w:r>
            <w:rPr>
              <w:highlight w:val="none"/>
            </w:rPr>
            <w:fldChar w:fldCharType="begin"/>
          </w:r>
          <w:r>
            <w:rPr>
              <w:highlight w:val="none"/>
            </w:rPr>
            <w:instrText xml:space="preserve"> PAGEREF _Toc4576 \h </w:instrText>
          </w:r>
          <w:r>
            <w:rPr>
              <w:highlight w:val="none"/>
            </w:rPr>
            <w:fldChar w:fldCharType="separate"/>
          </w:r>
          <w:r>
            <w:rPr>
              <w:highlight w:val="none"/>
            </w:rPr>
            <w:t>12</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4B61E09E">
          <w:pPr>
            <w:pStyle w:val="8"/>
            <w:tabs>
              <w:tab w:val="right" w:leader="dot" w:pos="8306"/>
            </w:tabs>
            <w:ind w:left="0" w:leftChars="0" w:firstLine="960" w:firstLineChars="30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_Toc25925 </w:instrText>
          </w:r>
          <w:r>
            <w:rPr>
              <w:rFonts w:hint="eastAsia" w:ascii="仿宋_GB2312" w:hAnsi="仿宋_GB2312" w:eastAsia="仿宋_GB2312" w:cs="仿宋_GB2312"/>
              <w:kern w:val="2"/>
              <w:szCs w:val="24"/>
              <w:highlight w:val="none"/>
              <w:lang w:val="en-US" w:eastAsia="zh-CN" w:bidi="ar-SA"/>
            </w:rPr>
            <w:fldChar w:fldCharType="separate"/>
          </w:r>
          <w:r>
            <w:rPr>
              <w:rFonts w:hint="eastAsia" w:ascii="仿宋_GB2312" w:hAnsi="仿宋_GB2312" w:eastAsia="仿宋_GB2312" w:cs="仿宋_GB2312"/>
              <w:highlight w:val="none"/>
              <w:lang w:val="en-US" w:eastAsia="zh-CN"/>
            </w:rPr>
            <w:t>5. 促进项目持续改进</w:t>
          </w:r>
          <w:r>
            <w:rPr>
              <w:highlight w:val="none"/>
            </w:rPr>
            <w:tab/>
          </w:r>
          <w:r>
            <w:rPr>
              <w:highlight w:val="none"/>
            </w:rPr>
            <w:fldChar w:fldCharType="begin"/>
          </w:r>
          <w:r>
            <w:rPr>
              <w:highlight w:val="none"/>
            </w:rPr>
            <w:instrText xml:space="preserve"> PAGEREF _Toc25925 \h </w:instrText>
          </w:r>
          <w:r>
            <w:rPr>
              <w:highlight w:val="none"/>
            </w:rPr>
            <w:fldChar w:fldCharType="separate"/>
          </w:r>
          <w:r>
            <w:rPr>
              <w:highlight w:val="none"/>
            </w:rPr>
            <w:t>12</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4CE0F654">
          <w:pPr>
            <w:pStyle w:val="8"/>
            <w:tabs>
              <w:tab w:val="right" w:leader="dot" w:pos="8306"/>
            </w:tabs>
            <w:ind w:left="0" w:leftChars="0" w:firstLine="64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_Toc29226 </w:instrText>
          </w:r>
          <w:r>
            <w:rPr>
              <w:rFonts w:hint="eastAsia" w:ascii="仿宋_GB2312" w:hAnsi="仿宋_GB2312" w:eastAsia="仿宋_GB2312" w:cs="仿宋_GB2312"/>
              <w:kern w:val="2"/>
              <w:szCs w:val="24"/>
              <w:highlight w:val="none"/>
              <w:lang w:val="en-US" w:eastAsia="zh-CN" w:bidi="ar-SA"/>
            </w:rPr>
            <w:fldChar w:fldCharType="separate"/>
          </w:r>
          <w:r>
            <w:rPr>
              <w:rFonts w:hint="eastAsia"/>
              <w:highlight w:val="none"/>
              <w:lang w:val="en-US" w:eastAsia="zh-CN"/>
            </w:rPr>
            <w:t>（二） 绩效评价对象和范围</w:t>
          </w:r>
          <w:r>
            <w:rPr>
              <w:highlight w:val="none"/>
            </w:rPr>
            <w:tab/>
          </w:r>
          <w:r>
            <w:rPr>
              <w:highlight w:val="none"/>
            </w:rPr>
            <w:fldChar w:fldCharType="begin"/>
          </w:r>
          <w:r>
            <w:rPr>
              <w:highlight w:val="none"/>
            </w:rPr>
            <w:instrText xml:space="preserve"> PAGEREF _Toc29226 \h </w:instrText>
          </w:r>
          <w:r>
            <w:rPr>
              <w:highlight w:val="none"/>
            </w:rPr>
            <w:fldChar w:fldCharType="separate"/>
          </w:r>
          <w:r>
            <w:rPr>
              <w:highlight w:val="none"/>
            </w:rPr>
            <w:t>13</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0990D3AD">
          <w:pPr>
            <w:pStyle w:val="8"/>
            <w:tabs>
              <w:tab w:val="right" w:leader="dot" w:pos="8306"/>
            </w:tabs>
            <w:ind w:left="0" w:leftChars="0" w:firstLine="64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_Toc20975 </w:instrText>
          </w:r>
          <w:r>
            <w:rPr>
              <w:rFonts w:hint="eastAsia" w:ascii="仿宋_GB2312" w:hAnsi="仿宋_GB2312" w:eastAsia="仿宋_GB2312" w:cs="仿宋_GB2312"/>
              <w:kern w:val="2"/>
              <w:szCs w:val="24"/>
              <w:highlight w:val="none"/>
              <w:lang w:val="en-US" w:eastAsia="zh-CN" w:bidi="ar-SA"/>
            </w:rPr>
            <w:fldChar w:fldCharType="separate"/>
          </w:r>
          <w:r>
            <w:rPr>
              <w:rFonts w:hint="eastAsia"/>
              <w:highlight w:val="none"/>
              <w:lang w:val="en-US" w:eastAsia="zh-CN"/>
            </w:rPr>
            <w:t>（三） 绩效评价原则</w:t>
          </w:r>
          <w:r>
            <w:rPr>
              <w:highlight w:val="none"/>
            </w:rPr>
            <w:tab/>
          </w:r>
          <w:r>
            <w:rPr>
              <w:highlight w:val="none"/>
            </w:rPr>
            <w:fldChar w:fldCharType="begin"/>
          </w:r>
          <w:r>
            <w:rPr>
              <w:highlight w:val="none"/>
            </w:rPr>
            <w:instrText xml:space="preserve"> PAGEREF _Toc20975 \h </w:instrText>
          </w:r>
          <w:r>
            <w:rPr>
              <w:highlight w:val="none"/>
            </w:rPr>
            <w:fldChar w:fldCharType="separate"/>
          </w:r>
          <w:r>
            <w:rPr>
              <w:highlight w:val="none"/>
            </w:rPr>
            <w:t>14</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1F7EF60A">
          <w:pPr>
            <w:pStyle w:val="8"/>
            <w:tabs>
              <w:tab w:val="right" w:leader="dot" w:pos="8306"/>
            </w:tabs>
            <w:ind w:left="0" w:leftChars="0" w:firstLine="64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_Toc3117 </w:instrText>
          </w:r>
          <w:r>
            <w:rPr>
              <w:rFonts w:hint="eastAsia" w:ascii="仿宋_GB2312" w:hAnsi="仿宋_GB2312" w:eastAsia="仿宋_GB2312" w:cs="仿宋_GB2312"/>
              <w:kern w:val="2"/>
              <w:szCs w:val="24"/>
              <w:highlight w:val="none"/>
              <w:lang w:val="en-US" w:eastAsia="zh-CN" w:bidi="ar-SA"/>
            </w:rPr>
            <w:fldChar w:fldCharType="separate"/>
          </w:r>
          <w:r>
            <w:rPr>
              <w:rFonts w:hint="eastAsia"/>
              <w:highlight w:val="none"/>
              <w:lang w:val="en-US" w:eastAsia="zh-CN"/>
            </w:rPr>
            <w:t>（四） 绩效评价依据</w:t>
          </w:r>
          <w:r>
            <w:rPr>
              <w:highlight w:val="none"/>
            </w:rPr>
            <w:tab/>
          </w:r>
          <w:r>
            <w:rPr>
              <w:highlight w:val="none"/>
            </w:rPr>
            <w:fldChar w:fldCharType="begin"/>
          </w:r>
          <w:r>
            <w:rPr>
              <w:highlight w:val="none"/>
            </w:rPr>
            <w:instrText xml:space="preserve"> PAGEREF _Toc3117 \h </w:instrText>
          </w:r>
          <w:r>
            <w:rPr>
              <w:highlight w:val="none"/>
            </w:rPr>
            <w:fldChar w:fldCharType="separate"/>
          </w:r>
          <w:r>
            <w:rPr>
              <w:highlight w:val="none"/>
            </w:rPr>
            <w:t>14</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754B580D">
          <w:pPr>
            <w:pStyle w:val="8"/>
            <w:tabs>
              <w:tab w:val="right" w:leader="dot" w:pos="8306"/>
            </w:tabs>
            <w:ind w:left="0" w:leftChars="0" w:firstLine="64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_Toc18943 </w:instrText>
          </w:r>
          <w:r>
            <w:rPr>
              <w:rFonts w:hint="eastAsia" w:ascii="仿宋_GB2312" w:hAnsi="仿宋_GB2312" w:eastAsia="仿宋_GB2312" w:cs="仿宋_GB2312"/>
              <w:kern w:val="2"/>
              <w:szCs w:val="24"/>
              <w:highlight w:val="none"/>
              <w:lang w:val="en-US" w:eastAsia="zh-CN" w:bidi="ar-SA"/>
            </w:rPr>
            <w:fldChar w:fldCharType="separate"/>
          </w:r>
          <w:r>
            <w:rPr>
              <w:rFonts w:hint="eastAsia"/>
              <w:highlight w:val="none"/>
              <w:lang w:val="en-US" w:eastAsia="zh-CN"/>
            </w:rPr>
            <w:t>（五） 绩效评价指标体系及标准</w:t>
          </w:r>
          <w:r>
            <w:rPr>
              <w:highlight w:val="none"/>
            </w:rPr>
            <w:tab/>
          </w:r>
          <w:r>
            <w:rPr>
              <w:highlight w:val="none"/>
            </w:rPr>
            <w:fldChar w:fldCharType="begin"/>
          </w:r>
          <w:r>
            <w:rPr>
              <w:highlight w:val="none"/>
            </w:rPr>
            <w:instrText xml:space="preserve"> PAGEREF _Toc18943 \h </w:instrText>
          </w:r>
          <w:r>
            <w:rPr>
              <w:highlight w:val="none"/>
            </w:rPr>
            <w:fldChar w:fldCharType="separate"/>
          </w:r>
          <w:r>
            <w:rPr>
              <w:highlight w:val="none"/>
            </w:rPr>
            <w:t>15</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5C8CADEB">
          <w:pPr>
            <w:pStyle w:val="8"/>
            <w:tabs>
              <w:tab w:val="right" w:leader="dot" w:pos="8306"/>
            </w:tabs>
            <w:ind w:left="0" w:leftChars="0" w:firstLine="64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_Toc8026 </w:instrText>
          </w:r>
          <w:r>
            <w:rPr>
              <w:rFonts w:hint="eastAsia" w:ascii="仿宋_GB2312" w:hAnsi="仿宋_GB2312" w:eastAsia="仿宋_GB2312" w:cs="仿宋_GB2312"/>
              <w:kern w:val="2"/>
              <w:szCs w:val="24"/>
              <w:highlight w:val="none"/>
              <w:lang w:val="en-US" w:eastAsia="zh-CN" w:bidi="ar-SA"/>
            </w:rPr>
            <w:fldChar w:fldCharType="separate"/>
          </w:r>
          <w:r>
            <w:rPr>
              <w:rFonts w:hint="eastAsia"/>
              <w:highlight w:val="none"/>
              <w:lang w:val="en-US" w:eastAsia="zh-CN"/>
            </w:rPr>
            <w:t>（六） 绩效评价方法</w:t>
          </w:r>
          <w:r>
            <w:rPr>
              <w:highlight w:val="none"/>
            </w:rPr>
            <w:tab/>
          </w:r>
          <w:r>
            <w:rPr>
              <w:highlight w:val="none"/>
            </w:rPr>
            <w:fldChar w:fldCharType="begin"/>
          </w:r>
          <w:r>
            <w:rPr>
              <w:highlight w:val="none"/>
            </w:rPr>
            <w:instrText xml:space="preserve"> PAGEREF _Toc8026 \h </w:instrText>
          </w:r>
          <w:r>
            <w:rPr>
              <w:highlight w:val="none"/>
            </w:rPr>
            <w:fldChar w:fldCharType="separate"/>
          </w:r>
          <w:r>
            <w:rPr>
              <w:highlight w:val="none"/>
            </w:rPr>
            <w:t>16</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3EA5F840">
          <w:pPr>
            <w:pStyle w:val="8"/>
            <w:tabs>
              <w:tab w:val="right" w:leader="dot" w:pos="8306"/>
            </w:tabs>
            <w:ind w:left="0" w:leftChars="0" w:firstLine="64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_Toc13701 </w:instrText>
          </w:r>
          <w:r>
            <w:rPr>
              <w:rFonts w:hint="eastAsia" w:ascii="仿宋_GB2312" w:hAnsi="仿宋_GB2312" w:eastAsia="仿宋_GB2312" w:cs="仿宋_GB2312"/>
              <w:kern w:val="2"/>
              <w:szCs w:val="24"/>
              <w:highlight w:val="none"/>
              <w:lang w:val="en-US" w:eastAsia="zh-CN" w:bidi="ar-SA"/>
            </w:rPr>
            <w:fldChar w:fldCharType="separate"/>
          </w:r>
          <w:r>
            <w:rPr>
              <w:rFonts w:hint="eastAsia"/>
              <w:highlight w:val="none"/>
              <w:lang w:val="en-US" w:eastAsia="zh-CN"/>
            </w:rPr>
            <w:t>（七） 绩效评价工作过程</w:t>
          </w:r>
          <w:r>
            <w:rPr>
              <w:highlight w:val="none"/>
            </w:rPr>
            <w:tab/>
          </w:r>
          <w:r>
            <w:rPr>
              <w:highlight w:val="none"/>
            </w:rPr>
            <w:fldChar w:fldCharType="begin"/>
          </w:r>
          <w:r>
            <w:rPr>
              <w:highlight w:val="none"/>
            </w:rPr>
            <w:instrText xml:space="preserve"> PAGEREF _Toc13701 \h </w:instrText>
          </w:r>
          <w:r>
            <w:rPr>
              <w:highlight w:val="none"/>
            </w:rPr>
            <w:fldChar w:fldCharType="separate"/>
          </w:r>
          <w:r>
            <w:rPr>
              <w:highlight w:val="none"/>
            </w:rPr>
            <w:t>17</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5F360C98">
          <w:pPr>
            <w:pStyle w:val="13"/>
            <w:tabs>
              <w:tab w:val="right" w:leader="dot" w:pos="8306"/>
            </w:tabs>
            <w:ind w:left="0" w:leftChars="0" w:firstLine="0" w:firstLineChars="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_Toc10302 </w:instrText>
          </w:r>
          <w:r>
            <w:rPr>
              <w:rFonts w:hint="eastAsia" w:ascii="仿宋_GB2312" w:hAnsi="仿宋_GB2312" w:eastAsia="仿宋_GB2312" w:cs="仿宋_GB2312"/>
              <w:kern w:val="2"/>
              <w:szCs w:val="24"/>
              <w:highlight w:val="none"/>
              <w:lang w:val="en-US" w:eastAsia="zh-CN" w:bidi="ar-SA"/>
            </w:rPr>
            <w:fldChar w:fldCharType="separate"/>
          </w:r>
          <w:r>
            <w:rPr>
              <w:rFonts w:hint="eastAsia"/>
              <w:highlight w:val="none"/>
              <w:lang w:val="en-US" w:eastAsia="zh-CN"/>
            </w:rPr>
            <w:t>三、 绩效评价综合情况及结论</w:t>
          </w:r>
          <w:r>
            <w:rPr>
              <w:highlight w:val="none"/>
            </w:rPr>
            <w:tab/>
          </w:r>
          <w:r>
            <w:rPr>
              <w:highlight w:val="none"/>
            </w:rPr>
            <w:fldChar w:fldCharType="begin"/>
          </w:r>
          <w:r>
            <w:rPr>
              <w:highlight w:val="none"/>
            </w:rPr>
            <w:instrText xml:space="preserve"> PAGEREF _Toc10302 \h </w:instrText>
          </w:r>
          <w:r>
            <w:rPr>
              <w:highlight w:val="none"/>
            </w:rPr>
            <w:fldChar w:fldCharType="separate"/>
          </w:r>
          <w:r>
            <w:rPr>
              <w:highlight w:val="none"/>
            </w:rPr>
            <w:t>19</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6FAE3114">
          <w:pPr>
            <w:pStyle w:val="8"/>
            <w:tabs>
              <w:tab w:val="right" w:leader="dot" w:pos="8306"/>
            </w:tabs>
            <w:ind w:left="0" w:leftChars="0" w:firstLine="64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_Toc2202 </w:instrText>
          </w:r>
          <w:r>
            <w:rPr>
              <w:rFonts w:hint="eastAsia" w:ascii="仿宋_GB2312" w:hAnsi="仿宋_GB2312" w:eastAsia="仿宋_GB2312" w:cs="仿宋_GB2312"/>
              <w:kern w:val="2"/>
              <w:szCs w:val="24"/>
              <w:highlight w:val="none"/>
              <w:lang w:val="en-US" w:eastAsia="zh-CN" w:bidi="ar-SA"/>
            </w:rPr>
            <w:fldChar w:fldCharType="separate"/>
          </w:r>
          <w:r>
            <w:rPr>
              <w:rFonts w:hint="eastAsia"/>
              <w:highlight w:val="none"/>
              <w:lang w:val="en-US" w:eastAsia="zh-CN"/>
            </w:rPr>
            <w:t>（一） 绩效评价综合结论</w:t>
          </w:r>
          <w:r>
            <w:rPr>
              <w:highlight w:val="none"/>
            </w:rPr>
            <w:tab/>
          </w:r>
          <w:r>
            <w:rPr>
              <w:highlight w:val="none"/>
            </w:rPr>
            <w:fldChar w:fldCharType="begin"/>
          </w:r>
          <w:r>
            <w:rPr>
              <w:highlight w:val="none"/>
            </w:rPr>
            <w:instrText xml:space="preserve"> PAGEREF _Toc2202 \h </w:instrText>
          </w:r>
          <w:r>
            <w:rPr>
              <w:highlight w:val="none"/>
            </w:rPr>
            <w:fldChar w:fldCharType="separate"/>
          </w:r>
          <w:r>
            <w:rPr>
              <w:highlight w:val="none"/>
            </w:rPr>
            <w:t>19</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105FFAA0">
          <w:pPr>
            <w:pStyle w:val="8"/>
            <w:tabs>
              <w:tab w:val="right" w:leader="dot" w:pos="8306"/>
            </w:tabs>
            <w:ind w:left="0" w:leftChars="0" w:firstLine="64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_Toc30047 </w:instrText>
          </w:r>
          <w:r>
            <w:rPr>
              <w:rFonts w:hint="eastAsia" w:ascii="仿宋_GB2312" w:hAnsi="仿宋_GB2312" w:eastAsia="仿宋_GB2312" w:cs="仿宋_GB2312"/>
              <w:kern w:val="2"/>
              <w:szCs w:val="24"/>
              <w:highlight w:val="none"/>
              <w:lang w:val="en-US" w:eastAsia="zh-CN" w:bidi="ar-SA"/>
            </w:rPr>
            <w:fldChar w:fldCharType="separate"/>
          </w:r>
          <w:r>
            <w:rPr>
              <w:rFonts w:hint="eastAsia"/>
              <w:highlight w:val="none"/>
              <w:lang w:val="en-US" w:eastAsia="zh-CN"/>
            </w:rPr>
            <w:t>（二） 绩效目标</w:t>
          </w:r>
          <w:r>
            <w:rPr>
              <w:highlight w:val="none"/>
            </w:rPr>
            <w:tab/>
          </w:r>
          <w:r>
            <w:rPr>
              <w:highlight w:val="none"/>
            </w:rPr>
            <w:fldChar w:fldCharType="begin"/>
          </w:r>
          <w:r>
            <w:rPr>
              <w:highlight w:val="none"/>
            </w:rPr>
            <w:instrText xml:space="preserve"> PAGEREF _Toc30047 \h </w:instrText>
          </w:r>
          <w:r>
            <w:rPr>
              <w:highlight w:val="none"/>
            </w:rPr>
            <w:fldChar w:fldCharType="separate"/>
          </w:r>
          <w:r>
            <w:rPr>
              <w:highlight w:val="none"/>
            </w:rPr>
            <w:t>20</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1E8D10D0">
          <w:pPr>
            <w:pStyle w:val="13"/>
            <w:tabs>
              <w:tab w:val="right" w:leader="dot" w:pos="8306"/>
            </w:tabs>
            <w:ind w:left="0" w:leftChars="0" w:firstLine="0" w:firstLineChars="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_Toc7984 </w:instrText>
          </w:r>
          <w:r>
            <w:rPr>
              <w:rFonts w:hint="eastAsia" w:ascii="仿宋_GB2312" w:hAnsi="仿宋_GB2312" w:eastAsia="仿宋_GB2312" w:cs="仿宋_GB2312"/>
              <w:kern w:val="2"/>
              <w:szCs w:val="24"/>
              <w:highlight w:val="none"/>
              <w:lang w:val="en-US" w:eastAsia="zh-CN" w:bidi="ar-SA"/>
            </w:rPr>
            <w:fldChar w:fldCharType="separate"/>
          </w:r>
          <w:r>
            <w:rPr>
              <w:rFonts w:hint="eastAsia"/>
              <w:highlight w:val="none"/>
              <w:lang w:val="en-US" w:eastAsia="zh-CN"/>
            </w:rPr>
            <w:t>四、 绩效评价情况分析</w:t>
          </w:r>
          <w:r>
            <w:rPr>
              <w:highlight w:val="none"/>
            </w:rPr>
            <w:tab/>
          </w:r>
          <w:r>
            <w:rPr>
              <w:highlight w:val="none"/>
            </w:rPr>
            <w:fldChar w:fldCharType="begin"/>
          </w:r>
          <w:r>
            <w:rPr>
              <w:highlight w:val="none"/>
            </w:rPr>
            <w:instrText xml:space="preserve"> PAGEREF _Toc7984 \h </w:instrText>
          </w:r>
          <w:r>
            <w:rPr>
              <w:highlight w:val="none"/>
            </w:rPr>
            <w:fldChar w:fldCharType="separate"/>
          </w:r>
          <w:r>
            <w:rPr>
              <w:highlight w:val="none"/>
            </w:rPr>
            <w:t>21</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3671AFF0">
          <w:pPr>
            <w:pStyle w:val="8"/>
            <w:tabs>
              <w:tab w:val="right" w:leader="dot" w:pos="8306"/>
            </w:tabs>
            <w:ind w:left="0" w:leftChars="0" w:firstLine="64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_Toc17487 </w:instrText>
          </w:r>
          <w:r>
            <w:rPr>
              <w:rFonts w:hint="eastAsia" w:ascii="仿宋_GB2312" w:hAnsi="仿宋_GB2312" w:eastAsia="仿宋_GB2312" w:cs="仿宋_GB2312"/>
              <w:kern w:val="2"/>
              <w:szCs w:val="24"/>
              <w:highlight w:val="none"/>
              <w:lang w:val="en-US" w:eastAsia="zh-CN" w:bidi="ar-SA"/>
            </w:rPr>
            <w:fldChar w:fldCharType="separate"/>
          </w:r>
          <w:r>
            <w:rPr>
              <w:rFonts w:hint="eastAsia"/>
              <w:highlight w:val="none"/>
              <w:lang w:val="en-US" w:eastAsia="zh-CN"/>
            </w:rPr>
            <w:t>（一） 决策情况分析</w:t>
          </w:r>
          <w:r>
            <w:rPr>
              <w:highlight w:val="none"/>
            </w:rPr>
            <w:tab/>
          </w:r>
          <w:r>
            <w:rPr>
              <w:highlight w:val="none"/>
            </w:rPr>
            <w:fldChar w:fldCharType="begin"/>
          </w:r>
          <w:r>
            <w:rPr>
              <w:highlight w:val="none"/>
            </w:rPr>
            <w:instrText xml:space="preserve"> PAGEREF _Toc17487 \h </w:instrText>
          </w:r>
          <w:r>
            <w:rPr>
              <w:highlight w:val="none"/>
            </w:rPr>
            <w:fldChar w:fldCharType="separate"/>
          </w:r>
          <w:r>
            <w:rPr>
              <w:highlight w:val="none"/>
            </w:rPr>
            <w:t>21</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02B4F41A">
          <w:pPr>
            <w:pStyle w:val="8"/>
            <w:tabs>
              <w:tab w:val="right" w:leader="dot" w:pos="8306"/>
            </w:tabs>
            <w:ind w:left="0" w:leftChars="0" w:firstLine="64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_Toc21618 </w:instrText>
          </w:r>
          <w:r>
            <w:rPr>
              <w:rFonts w:hint="eastAsia" w:ascii="仿宋_GB2312" w:hAnsi="仿宋_GB2312" w:eastAsia="仿宋_GB2312" w:cs="仿宋_GB2312"/>
              <w:kern w:val="2"/>
              <w:szCs w:val="24"/>
              <w:highlight w:val="none"/>
              <w:lang w:val="en-US" w:eastAsia="zh-CN" w:bidi="ar-SA"/>
            </w:rPr>
            <w:fldChar w:fldCharType="separate"/>
          </w:r>
          <w:r>
            <w:rPr>
              <w:rFonts w:hint="eastAsia"/>
              <w:highlight w:val="none"/>
              <w:lang w:val="en-US" w:eastAsia="zh-CN"/>
            </w:rPr>
            <w:t>（二） 管理情况分析</w:t>
          </w:r>
          <w:r>
            <w:rPr>
              <w:highlight w:val="none"/>
            </w:rPr>
            <w:tab/>
          </w:r>
          <w:r>
            <w:rPr>
              <w:highlight w:val="none"/>
            </w:rPr>
            <w:fldChar w:fldCharType="begin"/>
          </w:r>
          <w:r>
            <w:rPr>
              <w:highlight w:val="none"/>
            </w:rPr>
            <w:instrText xml:space="preserve"> PAGEREF _Toc21618 \h </w:instrText>
          </w:r>
          <w:r>
            <w:rPr>
              <w:highlight w:val="none"/>
            </w:rPr>
            <w:fldChar w:fldCharType="separate"/>
          </w:r>
          <w:r>
            <w:rPr>
              <w:highlight w:val="none"/>
            </w:rPr>
            <w:t>23</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709FAE55">
          <w:pPr>
            <w:pStyle w:val="8"/>
            <w:tabs>
              <w:tab w:val="right" w:leader="dot" w:pos="8306"/>
            </w:tabs>
            <w:ind w:left="0" w:leftChars="0" w:firstLine="64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_Toc12280 </w:instrText>
          </w:r>
          <w:r>
            <w:rPr>
              <w:rFonts w:hint="eastAsia" w:ascii="仿宋_GB2312" w:hAnsi="仿宋_GB2312" w:eastAsia="仿宋_GB2312" w:cs="仿宋_GB2312"/>
              <w:kern w:val="2"/>
              <w:szCs w:val="24"/>
              <w:highlight w:val="none"/>
              <w:lang w:val="en-US" w:eastAsia="zh-CN" w:bidi="ar-SA"/>
            </w:rPr>
            <w:fldChar w:fldCharType="separate"/>
          </w:r>
          <w:r>
            <w:rPr>
              <w:rFonts w:hint="eastAsia"/>
              <w:highlight w:val="none"/>
              <w:lang w:val="en-US" w:eastAsia="zh-CN"/>
            </w:rPr>
            <w:t>（三） 产出情况分析</w:t>
          </w:r>
          <w:r>
            <w:rPr>
              <w:highlight w:val="none"/>
            </w:rPr>
            <w:tab/>
          </w:r>
          <w:r>
            <w:rPr>
              <w:highlight w:val="none"/>
            </w:rPr>
            <w:fldChar w:fldCharType="begin"/>
          </w:r>
          <w:r>
            <w:rPr>
              <w:highlight w:val="none"/>
            </w:rPr>
            <w:instrText xml:space="preserve"> PAGEREF _Toc12280 \h </w:instrText>
          </w:r>
          <w:r>
            <w:rPr>
              <w:highlight w:val="none"/>
            </w:rPr>
            <w:fldChar w:fldCharType="separate"/>
          </w:r>
          <w:r>
            <w:rPr>
              <w:highlight w:val="none"/>
            </w:rPr>
            <w:t>24</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33CD101D">
          <w:pPr>
            <w:pStyle w:val="8"/>
            <w:tabs>
              <w:tab w:val="right" w:leader="dot" w:pos="8306"/>
            </w:tabs>
            <w:ind w:left="0" w:leftChars="0" w:firstLine="64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_Toc6725 </w:instrText>
          </w:r>
          <w:r>
            <w:rPr>
              <w:rFonts w:hint="eastAsia" w:ascii="仿宋_GB2312" w:hAnsi="仿宋_GB2312" w:eastAsia="仿宋_GB2312" w:cs="仿宋_GB2312"/>
              <w:kern w:val="2"/>
              <w:szCs w:val="24"/>
              <w:highlight w:val="none"/>
              <w:lang w:val="en-US" w:eastAsia="zh-CN" w:bidi="ar-SA"/>
            </w:rPr>
            <w:fldChar w:fldCharType="separate"/>
          </w:r>
          <w:r>
            <w:rPr>
              <w:rFonts w:hint="eastAsia"/>
              <w:highlight w:val="none"/>
              <w:lang w:val="en-US" w:eastAsia="zh-CN"/>
            </w:rPr>
            <w:t>（四） 效益情况分析</w:t>
          </w:r>
          <w:r>
            <w:rPr>
              <w:highlight w:val="none"/>
            </w:rPr>
            <w:tab/>
          </w:r>
          <w:r>
            <w:rPr>
              <w:highlight w:val="none"/>
            </w:rPr>
            <w:fldChar w:fldCharType="begin"/>
          </w:r>
          <w:r>
            <w:rPr>
              <w:highlight w:val="none"/>
            </w:rPr>
            <w:instrText xml:space="preserve"> PAGEREF _Toc6725 \h </w:instrText>
          </w:r>
          <w:r>
            <w:rPr>
              <w:highlight w:val="none"/>
            </w:rPr>
            <w:fldChar w:fldCharType="separate"/>
          </w:r>
          <w:r>
            <w:rPr>
              <w:highlight w:val="none"/>
            </w:rPr>
            <w:t>26</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78A35A88">
          <w:pPr>
            <w:pStyle w:val="13"/>
            <w:tabs>
              <w:tab w:val="right" w:leader="dot" w:pos="8306"/>
            </w:tabs>
            <w:ind w:left="0" w:leftChars="0" w:firstLine="0" w:firstLineChars="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_Toc17073 </w:instrText>
          </w:r>
          <w:r>
            <w:rPr>
              <w:rFonts w:hint="eastAsia" w:ascii="仿宋_GB2312" w:hAnsi="仿宋_GB2312" w:eastAsia="仿宋_GB2312" w:cs="仿宋_GB2312"/>
              <w:kern w:val="2"/>
              <w:szCs w:val="24"/>
              <w:highlight w:val="none"/>
              <w:lang w:val="en-US" w:eastAsia="zh-CN" w:bidi="ar-SA"/>
            </w:rPr>
            <w:fldChar w:fldCharType="separate"/>
          </w:r>
          <w:r>
            <w:rPr>
              <w:rFonts w:hint="eastAsia"/>
              <w:highlight w:val="none"/>
              <w:lang w:val="en-US" w:eastAsia="zh-CN"/>
            </w:rPr>
            <w:t>五、 主要经验及做法</w:t>
          </w:r>
          <w:r>
            <w:rPr>
              <w:highlight w:val="none"/>
            </w:rPr>
            <w:tab/>
          </w:r>
          <w:r>
            <w:rPr>
              <w:highlight w:val="none"/>
            </w:rPr>
            <w:fldChar w:fldCharType="begin"/>
          </w:r>
          <w:r>
            <w:rPr>
              <w:highlight w:val="none"/>
            </w:rPr>
            <w:instrText xml:space="preserve"> PAGEREF _Toc17073 \h </w:instrText>
          </w:r>
          <w:r>
            <w:rPr>
              <w:highlight w:val="none"/>
            </w:rPr>
            <w:fldChar w:fldCharType="separate"/>
          </w:r>
          <w:r>
            <w:rPr>
              <w:highlight w:val="none"/>
            </w:rPr>
            <w:t>27</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763CD690">
          <w:pPr>
            <w:pStyle w:val="13"/>
            <w:tabs>
              <w:tab w:val="right" w:leader="dot" w:pos="8306"/>
            </w:tabs>
            <w:ind w:left="0" w:leftChars="0" w:firstLine="0" w:firstLineChars="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_Toc14754 </w:instrText>
          </w:r>
          <w:r>
            <w:rPr>
              <w:rFonts w:hint="eastAsia" w:ascii="仿宋_GB2312" w:hAnsi="仿宋_GB2312" w:eastAsia="仿宋_GB2312" w:cs="仿宋_GB2312"/>
              <w:kern w:val="2"/>
              <w:szCs w:val="24"/>
              <w:highlight w:val="none"/>
              <w:lang w:val="en-US" w:eastAsia="zh-CN" w:bidi="ar-SA"/>
            </w:rPr>
            <w:fldChar w:fldCharType="separate"/>
          </w:r>
          <w:r>
            <w:rPr>
              <w:rFonts w:hint="eastAsia"/>
              <w:highlight w:val="none"/>
              <w:lang w:val="en-US" w:eastAsia="zh-CN"/>
            </w:rPr>
            <w:t>六、 存在问题及原因分析</w:t>
          </w:r>
          <w:r>
            <w:rPr>
              <w:highlight w:val="none"/>
            </w:rPr>
            <w:tab/>
          </w:r>
          <w:r>
            <w:rPr>
              <w:highlight w:val="none"/>
            </w:rPr>
            <w:fldChar w:fldCharType="begin"/>
          </w:r>
          <w:r>
            <w:rPr>
              <w:highlight w:val="none"/>
            </w:rPr>
            <w:instrText xml:space="preserve"> PAGEREF _Toc14754 \h </w:instrText>
          </w:r>
          <w:r>
            <w:rPr>
              <w:highlight w:val="none"/>
            </w:rPr>
            <w:fldChar w:fldCharType="separate"/>
          </w:r>
          <w:r>
            <w:rPr>
              <w:highlight w:val="none"/>
            </w:rPr>
            <w:t>28</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3B384967">
          <w:pPr>
            <w:pStyle w:val="8"/>
            <w:tabs>
              <w:tab w:val="right" w:leader="dot" w:pos="8306"/>
            </w:tabs>
            <w:ind w:left="0" w:leftChars="0" w:firstLine="640"/>
            <w:rPr>
              <w:rFonts w:hint="default" w:eastAsia="仿宋_GB2312"/>
              <w:highlight w:val="none"/>
              <w:lang w:val="en-US" w:eastAsia="zh-CN"/>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_Toc20898 </w:instrText>
          </w:r>
          <w:r>
            <w:rPr>
              <w:rFonts w:hint="eastAsia" w:ascii="仿宋_GB2312" w:hAnsi="仿宋_GB2312" w:eastAsia="仿宋_GB2312" w:cs="仿宋_GB2312"/>
              <w:kern w:val="2"/>
              <w:szCs w:val="24"/>
              <w:highlight w:val="none"/>
              <w:lang w:val="en-US" w:eastAsia="zh-CN" w:bidi="ar-SA"/>
            </w:rPr>
            <w:fldChar w:fldCharType="separate"/>
          </w:r>
          <w:r>
            <w:rPr>
              <w:rFonts w:hint="eastAsia"/>
              <w:highlight w:val="none"/>
              <w:lang w:val="en-US" w:eastAsia="zh-CN"/>
            </w:rPr>
            <w:t>（一） 资金管理方面</w:t>
          </w:r>
          <w:r>
            <w:rPr>
              <w:highlight w:val="none"/>
            </w:rPr>
            <w:tab/>
          </w:r>
          <w:r>
            <w:rPr>
              <w:rFonts w:hint="eastAsia" w:ascii="仿宋_GB2312" w:hAnsi="仿宋_GB2312" w:eastAsia="仿宋_GB2312" w:cs="仿宋_GB2312"/>
              <w:kern w:val="2"/>
              <w:szCs w:val="24"/>
              <w:highlight w:val="none"/>
              <w:lang w:val="en-US" w:eastAsia="zh-CN" w:bidi="ar-SA"/>
            </w:rPr>
            <w:fldChar w:fldCharType="end"/>
          </w:r>
          <w:r>
            <w:rPr>
              <w:rFonts w:hint="eastAsia"/>
              <w:highlight w:val="none"/>
              <w:lang w:val="en-US" w:eastAsia="zh-CN"/>
            </w:rPr>
            <w:t>28</w:t>
          </w:r>
        </w:p>
        <w:p w14:paraId="6AEB00A9">
          <w:pPr>
            <w:pStyle w:val="8"/>
            <w:tabs>
              <w:tab w:val="right" w:leader="dot" w:pos="8306"/>
            </w:tabs>
            <w:ind w:left="0" w:leftChars="0" w:firstLine="640"/>
            <w:rPr>
              <w:rFonts w:hint="default" w:eastAsia="仿宋_GB2312"/>
              <w:highlight w:val="none"/>
              <w:lang w:val="en-US" w:eastAsia="zh-CN"/>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_Toc27356 </w:instrText>
          </w:r>
          <w:r>
            <w:rPr>
              <w:rFonts w:hint="eastAsia" w:ascii="仿宋_GB2312" w:hAnsi="仿宋_GB2312" w:eastAsia="仿宋_GB2312" w:cs="仿宋_GB2312"/>
              <w:kern w:val="2"/>
              <w:szCs w:val="24"/>
              <w:highlight w:val="none"/>
              <w:lang w:val="en-US" w:eastAsia="zh-CN" w:bidi="ar-SA"/>
            </w:rPr>
            <w:fldChar w:fldCharType="separate"/>
          </w:r>
          <w:r>
            <w:rPr>
              <w:rFonts w:hint="eastAsia"/>
              <w:highlight w:val="none"/>
              <w:lang w:val="en-US" w:eastAsia="zh-CN"/>
            </w:rPr>
            <w:t>（二） 项目管理方面</w:t>
          </w:r>
          <w:r>
            <w:rPr>
              <w:highlight w:val="none"/>
            </w:rPr>
            <w:tab/>
          </w:r>
          <w:r>
            <w:rPr>
              <w:rFonts w:hint="eastAsia" w:ascii="仿宋_GB2312" w:hAnsi="仿宋_GB2312" w:eastAsia="仿宋_GB2312" w:cs="仿宋_GB2312"/>
              <w:kern w:val="2"/>
              <w:szCs w:val="24"/>
              <w:highlight w:val="none"/>
              <w:lang w:val="en-US" w:eastAsia="zh-CN" w:bidi="ar-SA"/>
            </w:rPr>
            <w:fldChar w:fldCharType="end"/>
          </w:r>
          <w:r>
            <w:rPr>
              <w:rFonts w:hint="eastAsia"/>
              <w:highlight w:val="none"/>
              <w:lang w:val="en-US" w:eastAsia="zh-CN"/>
            </w:rPr>
            <w:t>28</w:t>
          </w:r>
        </w:p>
        <w:p w14:paraId="6A7F4F94">
          <w:pPr>
            <w:pStyle w:val="8"/>
            <w:tabs>
              <w:tab w:val="right" w:leader="dot" w:pos="8306"/>
            </w:tabs>
            <w:ind w:left="0" w:leftChars="0" w:firstLine="64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_Toc11545 </w:instrText>
          </w:r>
          <w:r>
            <w:rPr>
              <w:rFonts w:hint="eastAsia" w:ascii="仿宋_GB2312" w:hAnsi="仿宋_GB2312" w:eastAsia="仿宋_GB2312" w:cs="仿宋_GB2312"/>
              <w:kern w:val="2"/>
              <w:szCs w:val="24"/>
              <w:highlight w:val="none"/>
              <w:lang w:val="en-US" w:eastAsia="zh-CN" w:bidi="ar-SA"/>
            </w:rPr>
            <w:fldChar w:fldCharType="separate"/>
          </w:r>
          <w:r>
            <w:rPr>
              <w:rFonts w:hint="eastAsia" w:ascii="仿宋_GB2312" w:hAnsi="仿宋_GB2312" w:eastAsia="楷体" w:cs="仿宋_GB2312"/>
              <w:kern w:val="2"/>
              <w:szCs w:val="28"/>
              <w:highlight w:val="none"/>
              <w:lang w:val="en-US" w:eastAsia="zh-CN" w:bidi="ar-SA"/>
            </w:rPr>
            <w:t>（</w:t>
          </w:r>
          <w:r>
            <w:rPr>
              <w:rFonts w:hint="eastAsia" w:cs="仿宋_GB2312"/>
              <w:kern w:val="2"/>
              <w:szCs w:val="28"/>
              <w:highlight w:val="none"/>
              <w:lang w:val="en-US" w:eastAsia="zh-CN" w:bidi="ar-SA"/>
            </w:rPr>
            <w:t>三</w:t>
          </w:r>
          <w:r>
            <w:rPr>
              <w:rFonts w:hint="eastAsia" w:ascii="仿宋_GB2312" w:hAnsi="仿宋_GB2312" w:eastAsia="楷体" w:cs="仿宋_GB2312"/>
              <w:kern w:val="2"/>
              <w:szCs w:val="28"/>
              <w:highlight w:val="none"/>
              <w:lang w:val="en-US" w:eastAsia="zh-CN" w:bidi="ar-SA"/>
            </w:rPr>
            <w:t>）</w:t>
          </w:r>
          <w:r>
            <w:rPr>
              <w:rFonts w:hint="eastAsia" w:eastAsia="楷体" w:cs="仿宋_GB2312"/>
              <w:kern w:val="2"/>
              <w:szCs w:val="28"/>
              <w:highlight w:val="none"/>
              <w:lang w:val="en-US" w:eastAsia="zh-CN" w:bidi="ar-SA"/>
            </w:rPr>
            <w:t xml:space="preserve"> </w:t>
          </w:r>
          <w:r>
            <w:rPr>
              <w:rFonts w:hint="eastAsia"/>
              <w:highlight w:val="none"/>
              <w:lang w:val="en-US" w:eastAsia="zh-CN"/>
            </w:rPr>
            <w:t>绩效管理方面</w:t>
          </w:r>
          <w:r>
            <w:rPr>
              <w:highlight w:val="none"/>
            </w:rPr>
            <w:tab/>
          </w:r>
          <w:r>
            <w:rPr>
              <w:highlight w:val="none"/>
            </w:rPr>
            <w:fldChar w:fldCharType="begin"/>
          </w:r>
          <w:r>
            <w:rPr>
              <w:highlight w:val="none"/>
            </w:rPr>
            <w:instrText xml:space="preserve"> PAGEREF _Toc11545 \h </w:instrText>
          </w:r>
          <w:r>
            <w:rPr>
              <w:highlight w:val="none"/>
            </w:rPr>
            <w:fldChar w:fldCharType="separate"/>
          </w:r>
          <w:r>
            <w:rPr>
              <w:highlight w:val="none"/>
            </w:rPr>
            <w:t>28</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6C3A65C3">
          <w:pPr>
            <w:pStyle w:val="13"/>
            <w:tabs>
              <w:tab w:val="right" w:leader="dot" w:pos="8306"/>
            </w:tabs>
            <w:ind w:left="0" w:leftChars="0" w:firstLine="0" w:firstLineChars="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_Toc17245 </w:instrText>
          </w:r>
          <w:r>
            <w:rPr>
              <w:rFonts w:hint="eastAsia" w:ascii="仿宋_GB2312" w:hAnsi="仿宋_GB2312" w:eastAsia="仿宋_GB2312" w:cs="仿宋_GB2312"/>
              <w:kern w:val="2"/>
              <w:szCs w:val="24"/>
              <w:highlight w:val="none"/>
              <w:lang w:val="en-US" w:eastAsia="zh-CN" w:bidi="ar-SA"/>
            </w:rPr>
            <w:fldChar w:fldCharType="separate"/>
          </w:r>
          <w:r>
            <w:rPr>
              <w:rFonts w:hint="eastAsia"/>
              <w:highlight w:val="none"/>
              <w:lang w:val="en-US" w:eastAsia="zh-CN"/>
            </w:rPr>
            <w:t>七、 针对问题提出的建议</w:t>
          </w:r>
          <w:r>
            <w:rPr>
              <w:highlight w:val="none"/>
            </w:rPr>
            <w:tab/>
          </w:r>
          <w:r>
            <w:rPr>
              <w:highlight w:val="none"/>
            </w:rPr>
            <w:fldChar w:fldCharType="begin"/>
          </w:r>
          <w:r>
            <w:rPr>
              <w:highlight w:val="none"/>
            </w:rPr>
            <w:instrText xml:space="preserve"> PAGEREF _Toc17245 \h </w:instrText>
          </w:r>
          <w:r>
            <w:rPr>
              <w:highlight w:val="none"/>
            </w:rPr>
            <w:fldChar w:fldCharType="separate"/>
          </w:r>
          <w:r>
            <w:rPr>
              <w:highlight w:val="none"/>
            </w:rPr>
            <w:t>29</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26200D2C">
          <w:pPr>
            <w:pStyle w:val="8"/>
            <w:tabs>
              <w:tab w:val="right" w:leader="dot" w:pos="8306"/>
            </w:tabs>
            <w:ind w:left="0" w:leftChars="0" w:firstLine="640"/>
            <w:rPr>
              <w:rFonts w:hint="default" w:eastAsia="仿宋_GB2312"/>
              <w:highlight w:val="none"/>
              <w:lang w:val="en-US" w:eastAsia="zh-CN"/>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_Toc16002 </w:instrText>
          </w:r>
          <w:r>
            <w:rPr>
              <w:rFonts w:hint="eastAsia" w:ascii="仿宋_GB2312" w:hAnsi="仿宋_GB2312" w:eastAsia="仿宋_GB2312" w:cs="仿宋_GB2312"/>
              <w:kern w:val="2"/>
              <w:szCs w:val="24"/>
              <w:highlight w:val="none"/>
              <w:lang w:val="en-US" w:eastAsia="zh-CN" w:bidi="ar-SA"/>
            </w:rPr>
            <w:fldChar w:fldCharType="separate"/>
          </w:r>
          <w:r>
            <w:rPr>
              <w:rFonts w:hint="eastAsia" w:ascii="仿宋_GB2312" w:hAnsi="仿宋_GB2312" w:eastAsia="楷体" w:cs="仿宋_GB2312"/>
              <w:kern w:val="2"/>
              <w:szCs w:val="28"/>
              <w:highlight w:val="none"/>
              <w:lang w:val="en-US" w:eastAsia="zh-CN" w:bidi="ar-SA"/>
            </w:rPr>
            <w:t>（</w:t>
          </w:r>
          <w:r>
            <w:rPr>
              <w:rFonts w:hint="eastAsia" w:cs="仿宋_GB2312"/>
              <w:kern w:val="2"/>
              <w:szCs w:val="28"/>
              <w:highlight w:val="none"/>
              <w:lang w:val="en-US" w:eastAsia="zh-CN" w:bidi="ar-SA"/>
            </w:rPr>
            <w:t>一</w:t>
          </w:r>
          <w:r>
            <w:rPr>
              <w:rFonts w:hint="eastAsia" w:ascii="仿宋_GB2312" w:hAnsi="仿宋_GB2312" w:eastAsia="楷体" w:cs="仿宋_GB2312"/>
              <w:kern w:val="2"/>
              <w:szCs w:val="28"/>
              <w:highlight w:val="none"/>
              <w:lang w:val="en-US" w:eastAsia="zh-CN" w:bidi="ar-SA"/>
            </w:rPr>
            <w:t>）</w:t>
          </w:r>
          <w:r>
            <w:rPr>
              <w:rFonts w:hint="eastAsia"/>
              <w:highlight w:val="none"/>
              <w:lang w:val="en-US" w:eastAsia="zh-CN"/>
            </w:rPr>
            <w:t>资金管理方面</w:t>
          </w:r>
          <w:r>
            <w:rPr>
              <w:highlight w:val="none"/>
            </w:rPr>
            <w:tab/>
          </w:r>
          <w:r>
            <w:rPr>
              <w:rFonts w:hint="eastAsia" w:ascii="仿宋_GB2312" w:hAnsi="仿宋_GB2312" w:eastAsia="仿宋_GB2312" w:cs="仿宋_GB2312"/>
              <w:kern w:val="2"/>
              <w:szCs w:val="24"/>
              <w:highlight w:val="none"/>
              <w:lang w:val="en-US" w:eastAsia="zh-CN" w:bidi="ar-SA"/>
            </w:rPr>
            <w:fldChar w:fldCharType="end"/>
          </w:r>
          <w:r>
            <w:rPr>
              <w:rFonts w:hint="eastAsia"/>
              <w:highlight w:val="none"/>
              <w:lang w:val="en-US" w:eastAsia="zh-CN"/>
            </w:rPr>
            <w:t>28</w:t>
          </w:r>
        </w:p>
        <w:p w14:paraId="28247908">
          <w:pPr>
            <w:pStyle w:val="8"/>
            <w:tabs>
              <w:tab w:val="right" w:leader="dot" w:pos="8306"/>
            </w:tabs>
            <w:ind w:left="0" w:leftChars="0" w:firstLine="640"/>
            <w:rPr>
              <w:rFonts w:hint="default" w:eastAsia="仿宋_GB2312"/>
              <w:highlight w:val="none"/>
              <w:lang w:val="en-US" w:eastAsia="zh-CN"/>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_Toc5940 </w:instrText>
          </w:r>
          <w:r>
            <w:rPr>
              <w:rFonts w:hint="eastAsia" w:ascii="仿宋_GB2312" w:hAnsi="仿宋_GB2312" w:eastAsia="仿宋_GB2312" w:cs="仿宋_GB2312"/>
              <w:kern w:val="2"/>
              <w:szCs w:val="24"/>
              <w:highlight w:val="none"/>
              <w:lang w:val="en-US" w:eastAsia="zh-CN" w:bidi="ar-SA"/>
            </w:rPr>
            <w:fldChar w:fldCharType="separate"/>
          </w:r>
          <w:r>
            <w:rPr>
              <w:rFonts w:hint="eastAsia" w:ascii="楷体" w:hAnsi="楷体" w:eastAsia="楷体" w:cs="楷体"/>
              <w:bCs w:val="0"/>
              <w:kern w:val="2"/>
              <w:szCs w:val="28"/>
              <w:highlight w:val="none"/>
              <w:lang w:val="en-US" w:eastAsia="zh-CN" w:bidi="ar-SA"/>
            </w:rPr>
            <w:t>（二）</w:t>
          </w:r>
          <w:r>
            <w:rPr>
              <w:rFonts w:hint="eastAsia" w:ascii="楷体" w:hAnsi="楷体" w:eastAsia="楷体" w:cs="楷体"/>
              <w:bCs w:val="0"/>
              <w:highlight w:val="none"/>
              <w:lang w:val="en-US" w:eastAsia="zh-CN"/>
            </w:rPr>
            <w:t>项目管理方面</w:t>
          </w:r>
          <w:r>
            <w:rPr>
              <w:highlight w:val="none"/>
            </w:rPr>
            <w:tab/>
          </w:r>
          <w:r>
            <w:rPr>
              <w:rFonts w:hint="eastAsia" w:ascii="仿宋_GB2312" w:hAnsi="仿宋_GB2312" w:eastAsia="仿宋_GB2312" w:cs="仿宋_GB2312"/>
              <w:kern w:val="2"/>
              <w:szCs w:val="24"/>
              <w:highlight w:val="none"/>
              <w:lang w:val="en-US" w:eastAsia="zh-CN" w:bidi="ar-SA"/>
            </w:rPr>
            <w:fldChar w:fldCharType="end"/>
          </w:r>
          <w:r>
            <w:rPr>
              <w:rFonts w:hint="eastAsia"/>
              <w:highlight w:val="none"/>
              <w:lang w:val="en-US" w:eastAsia="zh-CN"/>
            </w:rPr>
            <w:t>29</w:t>
          </w:r>
        </w:p>
        <w:p w14:paraId="2F8B83C9">
          <w:pPr>
            <w:pStyle w:val="8"/>
            <w:tabs>
              <w:tab w:val="right" w:leader="dot" w:pos="8306"/>
            </w:tabs>
            <w:ind w:left="0" w:leftChars="0" w:firstLine="64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_Toc25329 </w:instrText>
          </w:r>
          <w:r>
            <w:rPr>
              <w:rFonts w:hint="eastAsia" w:ascii="仿宋_GB2312" w:hAnsi="仿宋_GB2312" w:eastAsia="仿宋_GB2312" w:cs="仿宋_GB2312"/>
              <w:kern w:val="2"/>
              <w:szCs w:val="24"/>
              <w:highlight w:val="none"/>
              <w:lang w:val="en-US" w:eastAsia="zh-CN" w:bidi="ar-SA"/>
            </w:rPr>
            <w:fldChar w:fldCharType="separate"/>
          </w:r>
          <w:r>
            <w:rPr>
              <w:rFonts w:hint="eastAsia" w:ascii="仿宋_GB2312" w:hAnsi="仿宋_GB2312" w:eastAsia="楷体" w:cs="仿宋_GB2312"/>
              <w:kern w:val="2"/>
              <w:szCs w:val="28"/>
              <w:highlight w:val="none"/>
              <w:lang w:val="en-US" w:eastAsia="zh-CN" w:bidi="ar-SA"/>
            </w:rPr>
            <w:t>（</w:t>
          </w:r>
          <w:r>
            <w:rPr>
              <w:rFonts w:hint="eastAsia" w:cs="仿宋_GB2312"/>
              <w:kern w:val="2"/>
              <w:szCs w:val="28"/>
              <w:highlight w:val="none"/>
              <w:lang w:val="en-US" w:eastAsia="zh-CN" w:bidi="ar-SA"/>
            </w:rPr>
            <w:t>三</w:t>
          </w:r>
          <w:r>
            <w:rPr>
              <w:rFonts w:hint="eastAsia" w:ascii="仿宋_GB2312" w:hAnsi="仿宋_GB2312" w:eastAsia="楷体" w:cs="仿宋_GB2312"/>
              <w:kern w:val="2"/>
              <w:szCs w:val="28"/>
              <w:highlight w:val="none"/>
              <w:lang w:val="en-US" w:eastAsia="zh-CN" w:bidi="ar-SA"/>
            </w:rPr>
            <w:t>）</w:t>
          </w:r>
          <w:r>
            <w:rPr>
              <w:rFonts w:hint="eastAsia"/>
              <w:highlight w:val="none"/>
              <w:lang w:val="en-US" w:eastAsia="zh-CN"/>
            </w:rPr>
            <w:t>绩效管理方面</w:t>
          </w:r>
          <w:r>
            <w:rPr>
              <w:highlight w:val="none"/>
            </w:rPr>
            <w:tab/>
          </w:r>
          <w:r>
            <w:rPr>
              <w:highlight w:val="none"/>
            </w:rPr>
            <w:fldChar w:fldCharType="begin"/>
          </w:r>
          <w:r>
            <w:rPr>
              <w:highlight w:val="none"/>
            </w:rPr>
            <w:instrText xml:space="preserve"> PAGEREF _Toc25329 \h </w:instrText>
          </w:r>
          <w:r>
            <w:rPr>
              <w:highlight w:val="none"/>
            </w:rPr>
            <w:fldChar w:fldCharType="separate"/>
          </w:r>
          <w:r>
            <w:rPr>
              <w:highlight w:val="none"/>
            </w:rPr>
            <w:t>29</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0F35E32D">
          <w:pPr>
            <w:pStyle w:val="13"/>
            <w:tabs>
              <w:tab w:val="right" w:leader="dot" w:pos="8306"/>
            </w:tabs>
            <w:ind w:left="0" w:leftChars="0" w:firstLine="0" w:firstLineChars="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_Toc8627 </w:instrText>
          </w:r>
          <w:r>
            <w:rPr>
              <w:rFonts w:hint="eastAsia" w:ascii="仿宋_GB2312" w:hAnsi="仿宋_GB2312" w:eastAsia="仿宋_GB2312" w:cs="仿宋_GB2312"/>
              <w:kern w:val="2"/>
              <w:szCs w:val="24"/>
              <w:highlight w:val="none"/>
              <w:lang w:val="en-US" w:eastAsia="zh-CN" w:bidi="ar-SA"/>
            </w:rPr>
            <w:fldChar w:fldCharType="separate"/>
          </w:r>
          <w:r>
            <w:rPr>
              <w:rFonts w:hint="eastAsia"/>
              <w:highlight w:val="none"/>
              <w:lang w:val="en-US" w:eastAsia="zh-CN"/>
            </w:rPr>
            <w:t>八、 绩效评价结果应用建议</w:t>
          </w:r>
          <w:r>
            <w:rPr>
              <w:highlight w:val="none"/>
            </w:rPr>
            <w:tab/>
          </w:r>
          <w:r>
            <w:rPr>
              <w:highlight w:val="none"/>
            </w:rPr>
            <w:fldChar w:fldCharType="begin"/>
          </w:r>
          <w:r>
            <w:rPr>
              <w:highlight w:val="none"/>
            </w:rPr>
            <w:instrText xml:space="preserve"> PAGEREF _Toc8627 \h </w:instrText>
          </w:r>
          <w:r>
            <w:rPr>
              <w:highlight w:val="none"/>
            </w:rPr>
            <w:fldChar w:fldCharType="separate"/>
          </w:r>
          <w:r>
            <w:rPr>
              <w:highlight w:val="none"/>
            </w:rPr>
            <w:t>29</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0540ADF7">
          <w:pPr>
            <w:pStyle w:val="8"/>
            <w:tabs>
              <w:tab w:val="right" w:leader="dot" w:pos="8306"/>
            </w:tabs>
            <w:ind w:left="0" w:leftChars="0" w:firstLine="64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_Toc21806 </w:instrText>
          </w:r>
          <w:r>
            <w:rPr>
              <w:rFonts w:hint="eastAsia" w:ascii="仿宋_GB2312" w:hAnsi="仿宋_GB2312" w:eastAsia="仿宋_GB2312" w:cs="仿宋_GB2312"/>
              <w:kern w:val="2"/>
              <w:szCs w:val="24"/>
              <w:highlight w:val="none"/>
              <w:lang w:val="en-US" w:eastAsia="zh-CN" w:bidi="ar-SA"/>
            </w:rPr>
            <w:fldChar w:fldCharType="separate"/>
          </w:r>
          <w:r>
            <w:rPr>
              <w:rFonts w:hint="eastAsia"/>
              <w:highlight w:val="none"/>
              <w:lang w:val="en-US" w:eastAsia="zh-CN"/>
            </w:rPr>
            <w:t>（一） 对评价中发现的问题进行整改</w:t>
          </w:r>
          <w:r>
            <w:rPr>
              <w:highlight w:val="none"/>
            </w:rPr>
            <w:tab/>
          </w:r>
          <w:r>
            <w:rPr>
              <w:highlight w:val="none"/>
            </w:rPr>
            <w:fldChar w:fldCharType="begin"/>
          </w:r>
          <w:r>
            <w:rPr>
              <w:highlight w:val="none"/>
            </w:rPr>
            <w:instrText xml:space="preserve"> PAGEREF _Toc21806 \h </w:instrText>
          </w:r>
          <w:r>
            <w:rPr>
              <w:highlight w:val="none"/>
            </w:rPr>
            <w:fldChar w:fldCharType="separate"/>
          </w:r>
          <w:r>
            <w:rPr>
              <w:highlight w:val="none"/>
            </w:rPr>
            <w:t>29</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5749AE20">
          <w:pPr>
            <w:pStyle w:val="8"/>
            <w:tabs>
              <w:tab w:val="right" w:leader="dot" w:pos="8306"/>
            </w:tabs>
            <w:ind w:left="0" w:leftChars="0" w:firstLine="64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_Toc10853 </w:instrText>
          </w:r>
          <w:r>
            <w:rPr>
              <w:rFonts w:hint="eastAsia" w:ascii="仿宋_GB2312" w:hAnsi="仿宋_GB2312" w:eastAsia="仿宋_GB2312" w:cs="仿宋_GB2312"/>
              <w:kern w:val="2"/>
              <w:szCs w:val="24"/>
              <w:highlight w:val="none"/>
              <w:lang w:val="en-US" w:eastAsia="zh-CN" w:bidi="ar-SA"/>
            </w:rPr>
            <w:fldChar w:fldCharType="separate"/>
          </w:r>
          <w:r>
            <w:rPr>
              <w:rFonts w:hint="eastAsia"/>
              <w:highlight w:val="none"/>
              <w:lang w:val="en-US" w:eastAsia="zh-CN"/>
            </w:rPr>
            <w:t>（二） 下一年度预算安排</w:t>
          </w:r>
          <w:r>
            <w:rPr>
              <w:highlight w:val="none"/>
            </w:rPr>
            <w:tab/>
          </w:r>
          <w:r>
            <w:rPr>
              <w:highlight w:val="none"/>
            </w:rPr>
            <w:fldChar w:fldCharType="begin"/>
          </w:r>
          <w:r>
            <w:rPr>
              <w:highlight w:val="none"/>
            </w:rPr>
            <w:instrText xml:space="preserve"> PAGEREF _Toc10853 \h </w:instrText>
          </w:r>
          <w:r>
            <w:rPr>
              <w:highlight w:val="none"/>
            </w:rPr>
            <w:fldChar w:fldCharType="separate"/>
          </w:r>
          <w:r>
            <w:rPr>
              <w:highlight w:val="none"/>
            </w:rPr>
            <w:t>30</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2E4E653F">
          <w:pPr>
            <w:pStyle w:val="8"/>
            <w:tabs>
              <w:tab w:val="right" w:leader="dot" w:pos="8306"/>
            </w:tabs>
            <w:ind w:left="0" w:leftChars="0" w:firstLine="64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_Toc24316 </w:instrText>
          </w:r>
          <w:r>
            <w:rPr>
              <w:rFonts w:hint="eastAsia" w:ascii="仿宋_GB2312" w:hAnsi="仿宋_GB2312" w:eastAsia="仿宋_GB2312" w:cs="仿宋_GB2312"/>
              <w:kern w:val="2"/>
              <w:szCs w:val="24"/>
              <w:highlight w:val="none"/>
              <w:lang w:val="en-US" w:eastAsia="zh-CN" w:bidi="ar-SA"/>
            </w:rPr>
            <w:fldChar w:fldCharType="separate"/>
          </w:r>
          <w:r>
            <w:rPr>
              <w:rFonts w:hint="eastAsia"/>
              <w:highlight w:val="none"/>
              <w:lang w:val="en-US" w:eastAsia="zh-CN"/>
            </w:rPr>
            <w:t>（三） 评价结果公开</w:t>
          </w:r>
          <w:r>
            <w:rPr>
              <w:highlight w:val="none"/>
            </w:rPr>
            <w:tab/>
          </w:r>
          <w:r>
            <w:rPr>
              <w:highlight w:val="none"/>
            </w:rPr>
            <w:fldChar w:fldCharType="begin"/>
          </w:r>
          <w:r>
            <w:rPr>
              <w:highlight w:val="none"/>
            </w:rPr>
            <w:instrText xml:space="preserve"> PAGEREF _Toc24316 \h </w:instrText>
          </w:r>
          <w:r>
            <w:rPr>
              <w:highlight w:val="none"/>
            </w:rPr>
            <w:fldChar w:fldCharType="separate"/>
          </w:r>
          <w:r>
            <w:rPr>
              <w:highlight w:val="none"/>
            </w:rPr>
            <w:t>30</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352EBF50">
          <w:pPr>
            <w:pStyle w:val="13"/>
            <w:tabs>
              <w:tab w:val="right" w:leader="dot" w:pos="8306"/>
            </w:tabs>
            <w:ind w:left="0" w:leftChars="0" w:firstLine="0" w:firstLineChars="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_Toc23287 </w:instrText>
          </w:r>
          <w:r>
            <w:rPr>
              <w:rFonts w:hint="eastAsia" w:ascii="仿宋_GB2312" w:hAnsi="仿宋_GB2312" w:eastAsia="仿宋_GB2312" w:cs="仿宋_GB2312"/>
              <w:kern w:val="2"/>
              <w:szCs w:val="24"/>
              <w:highlight w:val="none"/>
              <w:lang w:val="en-US" w:eastAsia="zh-CN" w:bidi="ar-SA"/>
            </w:rPr>
            <w:fldChar w:fldCharType="separate"/>
          </w:r>
          <w:r>
            <w:rPr>
              <w:rFonts w:hint="eastAsia"/>
              <w:highlight w:val="none"/>
              <w:lang w:val="en-US" w:eastAsia="zh-CN"/>
            </w:rPr>
            <w:t>九、 其他需要说明的情况</w:t>
          </w:r>
          <w:r>
            <w:rPr>
              <w:highlight w:val="none"/>
            </w:rPr>
            <w:tab/>
          </w:r>
          <w:r>
            <w:rPr>
              <w:highlight w:val="none"/>
            </w:rPr>
            <w:fldChar w:fldCharType="begin"/>
          </w:r>
          <w:r>
            <w:rPr>
              <w:highlight w:val="none"/>
            </w:rPr>
            <w:instrText xml:space="preserve"> PAGEREF _Toc23287 \h </w:instrText>
          </w:r>
          <w:r>
            <w:rPr>
              <w:highlight w:val="none"/>
            </w:rPr>
            <w:fldChar w:fldCharType="separate"/>
          </w:r>
          <w:r>
            <w:rPr>
              <w:highlight w:val="none"/>
            </w:rPr>
            <w:t>30</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449E4AD9">
          <w:pPr>
            <w:pStyle w:val="8"/>
            <w:tabs>
              <w:tab w:val="right" w:leader="dot" w:pos="8306"/>
            </w:tabs>
            <w:ind w:left="0" w:leftChars="0" w:firstLine="64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_Toc13943 </w:instrText>
          </w:r>
          <w:r>
            <w:rPr>
              <w:rFonts w:hint="eastAsia" w:ascii="仿宋_GB2312" w:hAnsi="仿宋_GB2312" w:eastAsia="仿宋_GB2312" w:cs="仿宋_GB2312"/>
              <w:kern w:val="2"/>
              <w:szCs w:val="24"/>
              <w:highlight w:val="none"/>
              <w:lang w:val="en-US" w:eastAsia="zh-CN" w:bidi="ar-SA"/>
            </w:rPr>
            <w:fldChar w:fldCharType="separate"/>
          </w:r>
          <w:r>
            <w:rPr>
              <w:rFonts w:hint="eastAsia"/>
              <w:highlight w:val="none"/>
              <w:lang w:val="en-US" w:eastAsia="zh-CN"/>
            </w:rPr>
            <w:t>（一） 关于评价责任的说明</w:t>
          </w:r>
          <w:r>
            <w:rPr>
              <w:highlight w:val="none"/>
            </w:rPr>
            <w:tab/>
          </w:r>
          <w:r>
            <w:rPr>
              <w:highlight w:val="none"/>
            </w:rPr>
            <w:fldChar w:fldCharType="begin"/>
          </w:r>
          <w:r>
            <w:rPr>
              <w:highlight w:val="none"/>
            </w:rPr>
            <w:instrText xml:space="preserve"> PAGEREF _Toc13943 \h </w:instrText>
          </w:r>
          <w:r>
            <w:rPr>
              <w:highlight w:val="none"/>
            </w:rPr>
            <w:fldChar w:fldCharType="separate"/>
          </w:r>
          <w:r>
            <w:rPr>
              <w:highlight w:val="none"/>
            </w:rPr>
            <w:t>30</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256EDC94">
          <w:pPr>
            <w:pStyle w:val="8"/>
            <w:tabs>
              <w:tab w:val="right" w:leader="dot" w:pos="8306"/>
            </w:tabs>
            <w:ind w:left="0" w:leftChars="0" w:firstLine="64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_Toc8082 </w:instrText>
          </w:r>
          <w:r>
            <w:rPr>
              <w:rFonts w:hint="eastAsia" w:ascii="仿宋_GB2312" w:hAnsi="仿宋_GB2312" w:eastAsia="仿宋_GB2312" w:cs="仿宋_GB2312"/>
              <w:kern w:val="2"/>
              <w:szCs w:val="24"/>
              <w:highlight w:val="none"/>
              <w:lang w:val="en-US" w:eastAsia="zh-CN" w:bidi="ar-SA"/>
            </w:rPr>
            <w:fldChar w:fldCharType="separate"/>
          </w:r>
          <w:r>
            <w:rPr>
              <w:rFonts w:hint="eastAsia"/>
              <w:highlight w:val="none"/>
              <w:lang w:val="en-US" w:eastAsia="zh-CN"/>
            </w:rPr>
            <w:t>（二） 本次绩效评价的局限性</w:t>
          </w:r>
          <w:r>
            <w:rPr>
              <w:highlight w:val="none"/>
            </w:rPr>
            <w:tab/>
          </w:r>
          <w:r>
            <w:rPr>
              <w:highlight w:val="none"/>
            </w:rPr>
            <w:fldChar w:fldCharType="begin"/>
          </w:r>
          <w:r>
            <w:rPr>
              <w:highlight w:val="none"/>
            </w:rPr>
            <w:instrText xml:space="preserve"> PAGEREF _Toc8082 \h </w:instrText>
          </w:r>
          <w:r>
            <w:rPr>
              <w:highlight w:val="none"/>
            </w:rPr>
            <w:fldChar w:fldCharType="separate"/>
          </w:r>
          <w:r>
            <w:rPr>
              <w:highlight w:val="none"/>
            </w:rPr>
            <w:t>31</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6E51C06F">
          <w:pPr>
            <w:pStyle w:val="11"/>
            <w:tabs>
              <w:tab w:val="right" w:leader="dot" w:pos="8306"/>
            </w:tabs>
            <w:ind w:firstLine="0" w:firstLineChars="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_Toc29599 </w:instrText>
          </w:r>
          <w:r>
            <w:rPr>
              <w:rFonts w:hint="eastAsia" w:ascii="仿宋_GB2312" w:hAnsi="仿宋_GB2312" w:eastAsia="仿宋_GB2312" w:cs="仿宋_GB2312"/>
              <w:kern w:val="2"/>
              <w:szCs w:val="24"/>
              <w:highlight w:val="none"/>
              <w:lang w:val="en-US" w:eastAsia="zh-CN" w:bidi="ar-SA"/>
            </w:rPr>
            <w:fldChar w:fldCharType="separate"/>
          </w:r>
          <w:r>
            <w:rPr>
              <w:rFonts w:hint="eastAsia" w:ascii="仿宋_GB2312" w:hAnsi="仿宋_GB2312" w:eastAsia="仿宋_GB2312" w:cs="仿宋_GB2312"/>
              <w:highlight w:val="none"/>
              <w:lang w:val="en-US" w:eastAsia="zh-CN"/>
            </w:rPr>
            <w:t>附件1：综合评分表</w:t>
          </w:r>
          <w:r>
            <w:rPr>
              <w:highlight w:val="none"/>
            </w:rPr>
            <w:tab/>
          </w:r>
          <w:r>
            <w:rPr>
              <w:highlight w:val="none"/>
            </w:rPr>
            <w:fldChar w:fldCharType="begin"/>
          </w:r>
          <w:r>
            <w:rPr>
              <w:highlight w:val="none"/>
            </w:rPr>
            <w:instrText xml:space="preserve"> PAGEREF _Toc29599 \h </w:instrText>
          </w:r>
          <w:r>
            <w:rPr>
              <w:highlight w:val="none"/>
            </w:rPr>
            <w:fldChar w:fldCharType="separate"/>
          </w:r>
          <w:r>
            <w:rPr>
              <w:highlight w:val="none"/>
            </w:rPr>
            <w:t>33</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74893304">
          <w:pPr>
            <w:pStyle w:val="11"/>
            <w:tabs>
              <w:tab w:val="right" w:leader="dot" w:pos="8306"/>
            </w:tabs>
            <w:ind w:firstLine="0" w:firstLineChars="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_Toc715 </w:instrText>
          </w:r>
          <w:r>
            <w:rPr>
              <w:rFonts w:hint="eastAsia" w:ascii="仿宋_GB2312" w:hAnsi="仿宋_GB2312" w:eastAsia="仿宋_GB2312" w:cs="仿宋_GB2312"/>
              <w:kern w:val="2"/>
              <w:szCs w:val="24"/>
              <w:highlight w:val="none"/>
              <w:lang w:val="en-US" w:eastAsia="zh-CN" w:bidi="ar-SA"/>
            </w:rPr>
            <w:fldChar w:fldCharType="separate"/>
          </w:r>
          <w:r>
            <w:rPr>
              <w:rFonts w:hint="eastAsia" w:ascii="仿宋_GB2312" w:hAnsi="仿宋_GB2312" w:eastAsia="仿宋_GB2312" w:cs="仿宋_GB2312"/>
              <w:highlight w:val="none"/>
              <w:lang w:val="en-US" w:eastAsia="zh-CN"/>
            </w:rPr>
            <w:t>附件2：绩效评价报告征求部门意见反馈表</w:t>
          </w:r>
          <w:r>
            <w:rPr>
              <w:highlight w:val="none"/>
            </w:rPr>
            <w:tab/>
          </w:r>
          <w:r>
            <w:rPr>
              <w:highlight w:val="none"/>
            </w:rPr>
            <w:fldChar w:fldCharType="begin"/>
          </w:r>
          <w:r>
            <w:rPr>
              <w:highlight w:val="none"/>
            </w:rPr>
            <w:instrText xml:space="preserve"> PAGEREF _Toc715 \h </w:instrText>
          </w:r>
          <w:r>
            <w:rPr>
              <w:highlight w:val="none"/>
            </w:rPr>
            <w:fldChar w:fldCharType="separate"/>
          </w:r>
          <w:r>
            <w:rPr>
              <w:highlight w:val="none"/>
            </w:rPr>
            <w:t>53</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241D287B">
          <w:pPr>
            <w:pStyle w:val="11"/>
            <w:tabs>
              <w:tab w:val="right" w:leader="dot" w:pos="8306"/>
            </w:tabs>
            <w:ind w:firstLine="0" w:firstLineChars="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_Toc18179 </w:instrText>
          </w:r>
          <w:r>
            <w:rPr>
              <w:rFonts w:hint="eastAsia" w:ascii="仿宋_GB2312" w:hAnsi="仿宋_GB2312" w:eastAsia="仿宋_GB2312" w:cs="仿宋_GB2312"/>
              <w:kern w:val="2"/>
              <w:szCs w:val="24"/>
              <w:highlight w:val="none"/>
              <w:lang w:val="en-US" w:eastAsia="zh-CN" w:bidi="ar-SA"/>
            </w:rPr>
            <w:fldChar w:fldCharType="separate"/>
          </w:r>
          <w:r>
            <w:rPr>
              <w:rFonts w:hint="eastAsia" w:ascii="仿宋_GB2312" w:hAnsi="仿宋_GB2312" w:eastAsia="仿宋_GB2312" w:cs="仿宋_GB2312"/>
              <w:highlight w:val="none"/>
              <w:lang w:val="en-US" w:eastAsia="zh-CN"/>
            </w:rPr>
            <w:t>附件3：访谈报告</w:t>
          </w:r>
          <w:r>
            <w:rPr>
              <w:highlight w:val="none"/>
            </w:rPr>
            <w:tab/>
          </w:r>
          <w:r>
            <w:rPr>
              <w:highlight w:val="none"/>
            </w:rPr>
            <w:fldChar w:fldCharType="begin"/>
          </w:r>
          <w:r>
            <w:rPr>
              <w:highlight w:val="none"/>
            </w:rPr>
            <w:instrText xml:space="preserve"> PAGEREF _Toc18179 \h </w:instrText>
          </w:r>
          <w:r>
            <w:rPr>
              <w:highlight w:val="none"/>
            </w:rPr>
            <w:fldChar w:fldCharType="separate"/>
          </w:r>
          <w:r>
            <w:rPr>
              <w:highlight w:val="none"/>
            </w:rPr>
            <w:t>54</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5C3038EF">
          <w:pPr>
            <w:pStyle w:val="11"/>
            <w:tabs>
              <w:tab w:val="right" w:leader="dot" w:pos="8306"/>
            </w:tabs>
            <w:ind w:firstLine="0" w:firstLineChars="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_Toc10772 </w:instrText>
          </w:r>
          <w:r>
            <w:rPr>
              <w:rFonts w:hint="eastAsia" w:ascii="仿宋_GB2312" w:hAnsi="仿宋_GB2312" w:eastAsia="仿宋_GB2312" w:cs="仿宋_GB2312"/>
              <w:kern w:val="2"/>
              <w:szCs w:val="24"/>
              <w:highlight w:val="none"/>
              <w:lang w:val="en-US" w:eastAsia="zh-CN" w:bidi="ar-SA"/>
            </w:rPr>
            <w:fldChar w:fldCharType="separate"/>
          </w:r>
          <w:r>
            <w:rPr>
              <w:rFonts w:hint="eastAsia" w:ascii="仿宋_GB2312" w:hAnsi="仿宋_GB2312" w:eastAsia="仿宋_GB2312" w:cs="仿宋_GB2312"/>
              <w:highlight w:val="none"/>
              <w:lang w:val="en-US" w:eastAsia="zh-CN"/>
            </w:rPr>
            <w:t>附件4：</w:t>
          </w:r>
          <w:r>
            <w:rPr>
              <w:rFonts w:hint="eastAsia" w:cs="仿宋_GB2312"/>
              <w:highlight w:val="none"/>
              <w:lang w:val="en-US" w:eastAsia="zh-CN"/>
            </w:rPr>
            <w:t>满意度</w:t>
          </w:r>
          <w:r>
            <w:rPr>
              <w:rFonts w:hint="eastAsia" w:ascii="仿宋_GB2312" w:hAnsi="仿宋_GB2312" w:eastAsia="仿宋_GB2312" w:cs="仿宋_GB2312"/>
              <w:highlight w:val="none"/>
              <w:lang w:val="en-US" w:eastAsia="zh-CN"/>
            </w:rPr>
            <w:t>调查问卷</w:t>
          </w:r>
          <w:r>
            <w:rPr>
              <w:highlight w:val="none"/>
            </w:rPr>
            <w:tab/>
          </w:r>
          <w:r>
            <w:rPr>
              <w:highlight w:val="none"/>
            </w:rPr>
            <w:fldChar w:fldCharType="begin"/>
          </w:r>
          <w:r>
            <w:rPr>
              <w:highlight w:val="none"/>
            </w:rPr>
            <w:instrText xml:space="preserve"> PAGEREF _Toc10772 \h </w:instrText>
          </w:r>
          <w:r>
            <w:rPr>
              <w:highlight w:val="none"/>
            </w:rPr>
            <w:fldChar w:fldCharType="separate"/>
          </w:r>
          <w:r>
            <w:rPr>
              <w:highlight w:val="none"/>
            </w:rPr>
            <w:t>58</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3C99D7B8">
          <w:pPr>
            <w:pStyle w:val="11"/>
            <w:tabs>
              <w:tab w:val="right" w:leader="dot" w:pos="8306"/>
            </w:tabs>
            <w:ind w:firstLine="0" w:firstLineChars="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_Toc8931 </w:instrText>
          </w:r>
          <w:r>
            <w:rPr>
              <w:rFonts w:hint="eastAsia" w:ascii="仿宋_GB2312" w:hAnsi="仿宋_GB2312" w:eastAsia="仿宋_GB2312" w:cs="仿宋_GB2312"/>
              <w:kern w:val="2"/>
              <w:szCs w:val="24"/>
              <w:highlight w:val="none"/>
              <w:lang w:val="en-US" w:eastAsia="zh-CN" w:bidi="ar-SA"/>
            </w:rPr>
            <w:fldChar w:fldCharType="separate"/>
          </w:r>
          <w:r>
            <w:rPr>
              <w:rFonts w:hint="eastAsia" w:ascii="仿宋_GB2312" w:hAnsi="仿宋_GB2312" w:eastAsia="仿宋_GB2312" w:cs="仿宋_GB2312"/>
              <w:highlight w:val="none"/>
              <w:lang w:val="en-US" w:eastAsia="zh-CN"/>
            </w:rPr>
            <w:t>附件5：现场调研照片</w:t>
          </w:r>
          <w:r>
            <w:rPr>
              <w:highlight w:val="none"/>
            </w:rPr>
            <w:tab/>
          </w:r>
          <w:r>
            <w:rPr>
              <w:highlight w:val="none"/>
            </w:rPr>
            <w:fldChar w:fldCharType="begin"/>
          </w:r>
          <w:r>
            <w:rPr>
              <w:highlight w:val="none"/>
            </w:rPr>
            <w:instrText xml:space="preserve"> PAGEREF _Toc8931 \h </w:instrText>
          </w:r>
          <w:r>
            <w:rPr>
              <w:highlight w:val="none"/>
            </w:rPr>
            <w:fldChar w:fldCharType="separate"/>
          </w:r>
          <w:r>
            <w:rPr>
              <w:highlight w:val="none"/>
            </w:rPr>
            <w:t>64</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253617B4">
          <w:pPr>
            <w:pStyle w:val="11"/>
            <w:tabs>
              <w:tab w:val="right" w:leader="dot" w:pos="8306"/>
            </w:tabs>
            <w:ind w:firstLine="0" w:firstLineChars="0"/>
            <w:rPr>
              <w:highlight w:val="none"/>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_Toc21059 </w:instrText>
          </w:r>
          <w:r>
            <w:rPr>
              <w:rFonts w:hint="eastAsia" w:ascii="仿宋_GB2312" w:hAnsi="仿宋_GB2312" w:eastAsia="仿宋_GB2312" w:cs="仿宋_GB2312"/>
              <w:kern w:val="2"/>
              <w:szCs w:val="24"/>
              <w:highlight w:val="none"/>
              <w:lang w:val="en-US" w:eastAsia="zh-CN" w:bidi="ar-SA"/>
            </w:rPr>
            <w:fldChar w:fldCharType="separate"/>
          </w:r>
          <w:r>
            <w:rPr>
              <w:rFonts w:hint="eastAsia" w:ascii="仿宋_GB2312" w:hAnsi="仿宋_GB2312" w:eastAsia="仿宋_GB2312" w:cs="仿宋_GB2312"/>
              <w:highlight w:val="none"/>
              <w:lang w:val="en-US" w:eastAsia="zh-CN"/>
            </w:rPr>
            <w:t>附件6：项目单位自评表及自评报告</w:t>
          </w:r>
          <w:r>
            <w:rPr>
              <w:highlight w:val="none"/>
            </w:rPr>
            <w:tab/>
          </w:r>
          <w:r>
            <w:rPr>
              <w:highlight w:val="none"/>
            </w:rPr>
            <w:fldChar w:fldCharType="begin"/>
          </w:r>
          <w:r>
            <w:rPr>
              <w:highlight w:val="none"/>
            </w:rPr>
            <w:instrText xml:space="preserve"> PAGEREF _Toc21059 \h </w:instrText>
          </w:r>
          <w:r>
            <w:rPr>
              <w:highlight w:val="none"/>
            </w:rPr>
            <w:fldChar w:fldCharType="separate"/>
          </w:r>
          <w:r>
            <w:rPr>
              <w:highlight w:val="none"/>
            </w:rPr>
            <w:t>65</w:t>
          </w:r>
          <w:r>
            <w:rPr>
              <w:highlight w:val="none"/>
            </w:rPr>
            <w:fldChar w:fldCharType="end"/>
          </w:r>
          <w:r>
            <w:rPr>
              <w:rFonts w:hint="eastAsia" w:ascii="仿宋_GB2312" w:hAnsi="仿宋_GB2312" w:eastAsia="仿宋_GB2312" w:cs="仿宋_GB2312"/>
              <w:kern w:val="2"/>
              <w:szCs w:val="24"/>
              <w:highlight w:val="none"/>
              <w:lang w:val="en-US" w:eastAsia="zh-CN" w:bidi="ar-SA"/>
            </w:rPr>
            <w:fldChar w:fldCharType="end"/>
          </w:r>
        </w:p>
        <w:p w14:paraId="5676C7B9">
          <w:pPr>
            <w:pStyle w:val="11"/>
            <w:tabs>
              <w:tab w:val="right" w:leader="dot" w:pos="8306"/>
            </w:tabs>
            <w:ind w:firstLine="0" w:firstLineChars="0"/>
            <w:rPr>
              <w:rFonts w:hint="default" w:eastAsia="仿宋_GB2312"/>
              <w:highlight w:val="none"/>
              <w:lang w:val="en-US" w:eastAsia="zh-CN"/>
            </w:rPr>
          </w:pPr>
          <w:r>
            <w:rPr>
              <w:rFonts w:hint="eastAsia" w:ascii="仿宋_GB2312" w:hAnsi="仿宋_GB2312" w:eastAsia="仿宋_GB2312" w:cs="仿宋_GB2312"/>
              <w:kern w:val="2"/>
              <w:szCs w:val="24"/>
              <w:highlight w:val="none"/>
              <w:lang w:val="en-US" w:eastAsia="zh-CN" w:bidi="ar-SA"/>
            </w:rPr>
            <w:fldChar w:fldCharType="begin"/>
          </w:r>
          <w:r>
            <w:rPr>
              <w:rFonts w:hint="eastAsia" w:ascii="仿宋_GB2312" w:hAnsi="仿宋_GB2312" w:eastAsia="仿宋_GB2312" w:cs="仿宋_GB2312"/>
              <w:kern w:val="2"/>
              <w:szCs w:val="24"/>
              <w:highlight w:val="none"/>
              <w:lang w:val="en-US" w:eastAsia="zh-CN" w:bidi="ar-SA"/>
            </w:rPr>
            <w:instrText xml:space="preserve"> HYPERLINK \l _Toc12782 </w:instrText>
          </w:r>
          <w:r>
            <w:rPr>
              <w:rFonts w:hint="eastAsia" w:ascii="仿宋_GB2312" w:hAnsi="仿宋_GB2312" w:eastAsia="仿宋_GB2312" w:cs="仿宋_GB2312"/>
              <w:kern w:val="2"/>
              <w:szCs w:val="24"/>
              <w:highlight w:val="none"/>
              <w:lang w:val="en-US" w:eastAsia="zh-CN" w:bidi="ar-SA"/>
            </w:rPr>
            <w:fldChar w:fldCharType="separate"/>
          </w:r>
          <w:r>
            <w:rPr>
              <w:rFonts w:hint="eastAsia" w:ascii="仿宋_GB2312" w:hAnsi="仿宋_GB2312" w:eastAsia="仿宋_GB2312" w:cs="仿宋_GB2312"/>
              <w:highlight w:val="none"/>
              <w:lang w:val="en-US" w:eastAsia="zh-CN"/>
            </w:rPr>
            <w:t>附件7：相关文件</w:t>
          </w:r>
          <w:r>
            <w:rPr>
              <w:highlight w:val="none"/>
            </w:rPr>
            <w:tab/>
          </w:r>
          <w:r>
            <w:rPr>
              <w:rFonts w:hint="eastAsia" w:ascii="仿宋_GB2312" w:hAnsi="仿宋_GB2312" w:eastAsia="仿宋_GB2312" w:cs="仿宋_GB2312"/>
              <w:kern w:val="2"/>
              <w:szCs w:val="24"/>
              <w:highlight w:val="none"/>
              <w:lang w:val="en-US" w:eastAsia="zh-CN" w:bidi="ar-SA"/>
            </w:rPr>
            <w:fldChar w:fldCharType="end"/>
          </w:r>
          <w:r>
            <w:rPr>
              <w:rFonts w:hint="eastAsia"/>
              <w:highlight w:val="none"/>
              <w:lang w:val="en-US" w:eastAsia="zh-CN"/>
            </w:rPr>
            <w:t>70</w:t>
          </w:r>
        </w:p>
        <w:p w14:paraId="745A4F72">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Cs w:val="24"/>
              <w:highlight w:val="none"/>
              <w:lang w:val="en-US" w:eastAsia="zh-CN" w:bidi="ar-SA"/>
            </w:rPr>
            <w:fldChar w:fldCharType="end"/>
          </w:r>
        </w:p>
      </w:sdtContent>
    </w:sdt>
    <w:p w14:paraId="7C0E5939">
      <w:pPr>
        <w:rPr>
          <w:rFonts w:hint="eastAsia" w:ascii="仿宋_GB2312" w:hAnsi="仿宋_GB2312" w:eastAsia="仿宋_GB2312" w:cs="仿宋_GB2312"/>
          <w:kern w:val="2"/>
          <w:sz w:val="24"/>
          <w:szCs w:val="24"/>
          <w:highlight w:val="none"/>
          <w:lang w:val="en-US" w:eastAsia="zh-CN" w:bidi="ar-SA"/>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AB5E7BB">
      <w:pPr>
        <w:pStyle w:val="3"/>
        <w:bidi w:val="0"/>
        <w:ind w:firstLine="0" w:firstLineChars="0"/>
        <w:jc w:val="center"/>
        <w:outlineLvl w:val="0"/>
        <w:rPr>
          <w:rFonts w:hint="eastAsia" w:ascii="黑体" w:hAnsi="黑体" w:eastAsia="黑体" w:cs="黑体"/>
          <w:highlight w:val="none"/>
          <w:lang w:val="en-US" w:eastAsia="zh-CN"/>
        </w:rPr>
      </w:pPr>
      <w:bookmarkStart w:id="97" w:name="_Toc3584"/>
      <w:bookmarkStart w:id="98" w:name="_Toc22058"/>
      <w:bookmarkStart w:id="99" w:name="_Toc21129"/>
      <w:bookmarkStart w:id="100" w:name="_Toc13491"/>
      <w:r>
        <w:rPr>
          <w:rFonts w:hint="eastAsia" w:ascii="黑体" w:hAnsi="黑体" w:eastAsia="黑体" w:cs="黑体"/>
          <w:highlight w:val="none"/>
          <w:lang w:val="en-US" w:eastAsia="zh-CN"/>
        </w:rPr>
        <w:t xml:space="preserve">A2024-061、A2024-062、A2024-063、A2024-064 、 A2024-065 </w:t>
      </w:r>
      <w:r>
        <w:rPr>
          <w:rFonts w:hint="eastAsia" w:ascii="黑体" w:hAnsi="黑体" w:eastAsia="黑体" w:cs="黑体"/>
          <w:highlight w:val="none"/>
          <w:lang w:val="en-US" w:eastAsia="zh-CN"/>
        </w:rPr>
        <w:br w:type="textWrapping"/>
      </w:r>
      <w:r>
        <w:rPr>
          <w:rFonts w:hint="eastAsia" w:ascii="黑体" w:hAnsi="黑体" w:eastAsia="黑体" w:cs="黑体"/>
          <w:highlight w:val="none"/>
          <w:lang w:val="en-US" w:eastAsia="zh-CN"/>
        </w:rPr>
        <w:t>克拉玛依区老旧电梯更新改造项目</w:t>
      </w:r>
      <w:r>
        <w:rPr>
          <w:rFonts w:hint="eastAsia" w:ascii="黑体" w:hAnsi="黑体" w:eastAsia="黑体" w:cs="黑体"/>
          <w:highlight w:val="none"/>
          <w:lang w:val="en-US" w:eastAsia="zh-CN"/>
        </w:rPr>
        <w:br w:type="textWrapping"/>
      </w:r>
      <w:r>
        <w:rPr>
          <w:rFonts w:hint="eastAsia" w:ascii="黑体" w:hAnsi="黑体" w:eastAsia="黑体" w:cs="黑体"/>
          <w:highlight w:val="none"/>
          <w:lang w:val="en-US" w:eastAsia="zh-CN"/>
        </w:rPr>
        <w:t>绩效评价报告</w:t>
      </w:r>
      <w:bookmarkEnd w:id="97"/>
      <w:bookmarkEnd w:id="98"/>
      <w:bookmarkEnd w:id="99"/>
      <w:bookmarkEnd w:id="100"/>
    </w:p>
    <w:p w14:paraId="1DF0B67F">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为贯彻落实全面实施预算绩效管理，强化预算单位预算绩效管理责任。克拉玛依区财政局委托北京上计会计师事务所成立绩效评价工作组，于 2025 年 7 月 14 日- 8 月 </w:t>
      </w:r>
      <w:r>
        <w:rPr>
          <w:rFonts w:hint="eastAsia" w:cs="仿宋_GB2312"/>
          <w:highlight w:val="none"/>
          <w:lang w:val="en-US" w:eastAsia="zh-CN"/>
        </w:rPr>
        <w:t>8</w:t>
      </w:r>
      <w:r>
        <w:rPr>
          <w:rFonts w:hint="eastAsia" w:ascii="仿宋_GB2312" w:hAnsi="仿宋_GB2312" w:eastAsia="仿宋_GB2312" w:cs="仿宋_GB2312"/>
          <w:highlight w:val="none"/>
          <w:lang w:val="en-US" w:eastAsia="zh-CN"/>
        </w:rPr>
        <w:t>日对克拉玛依区住房和城乡建设局实施的 A2024-061、A2024-062、A2024-063、A2024-064、A2024-065克拉玛依区老旧电梯更新改造项目开展了绩效评价，现就评价情况报告如下：</w:t>
      </w:r>
    </w:p>
    <w:p w14:paraId="70F73469">
      <w:pPr>
        <w:pStyle w:val="4"/>
        <w:numPr>
          <w:ilvl w:val="0"/>
          <w:numId w:val="10"/>
        </w:numPr>
        <w:bidi w:val="0"/>
        <w:rPr>
          <w:rFonts w:hint="eastAsia"/>
          <w:highlight w:val="none"/>
          <w:lang w:val="en-US" w:eastAsia="zh-CN"/>
        </w:rPr>
      </w:pPr>
      <w:bookmarkStart w:id="101" w:name="_Toc7245"/>
      <w:bookmarkStart w:id="102" w:name="_Toc2504"/>
      <w:bookmarkStart w:id="103" w:name="_Toc18433"/>
      <w:r>
        <w:rPr>
          <w:rFonts w:hint="eastAsia"/>
          <w:highlight w:val="none"/>
          <w:lang w:val="en-US" w:eastAsia="zh-CN"/>
        </w:rPr>
        <w:t>基本情况</w:t>
      </w:r>
      <w:bookmarkEnd w:id="101"/>
      <w:bookmarkEnd w:id="102"/>
      <w:bookmarkEnd w:id="103"/>
    </w:p>
    <w:p w14:paraId="029278B8">
      <w:pPr>
        <w:pStyle w:val="5"/>
        <w:numPr>
          <w:ilvl w:val="0"/>
          <w:numId w:val="11"/>
        </w:numPr>
        <w:bidi w:val="0"/>
        <w:ind w:left="420" w:leftChars="0" w:firstLine="218" w:firstLineChars="68"/>
        <w:rPr>
          <w:rFonts w:hint="eastAsia"/>
          <w:highlight w:val="none"/>
          <w:lang w:val="en-US" w:eastAsia="zh-CN"/>
        </w:rPr>
      </w:pPr>
      <w:bookmarkStart w:id="104" w:name="_Toc20846"/>
      <w:bookmarkStart w:id="105" w:name="_Toc31944"/>
      <w:bookmarkStart w:id="106" w:name="_Toc30533"/>
      <w:r>
        <w:rPr>
          <w:rFonts w:hint="eastAsia"/>
          <w:highlight w:val="none"/>
          <w:lang w:val="en-US" w:eastAsia="zh-CN"/>
        </w:rPr>
        <w:t>项目概况</w:t>
      </w:r>
      <w:bookmarkEnd w:id="104"/>
      <w:bookmarkEnd w:id="105"/>
      <w:bookmarkEnd w:id="106"/>
    </w:p>
    <w:p w14:paraId="3C054B54">
      <w:pPr>
        <w:pStyle w:val="6"/>
        <w:numPr>
          <w:ilvl w:val="0"/>
          <w:numId w:val="12"/>
        </w:numPr>
        <w:bidi w:val="0"/>
        <w:ind w:left="0" w:leftChars="0" w:firstLine="640" w:firstLineChars="200"/>
        <w:rPr>
          <w:rFonts w:hint="eastAsia"/>
          <w:highlight w:val="none"/>
          <w:lang w:val="en-US" w:eastAsia="zh-CN"/>
        </w:rPr>
      </w:pPr>
      <w:r>
        <w:rPr>
          <w:rFonts w:hint="eastAsia"/>
          <w:highlight w:val="none"/>
          <w:lang w:val="en-US" w:eastAsia="zh-CN"/>
        </w:rPr>
        <w:t>项目单位基本情况</w:t>
      </w:r>
    </w:p>
    <w:p w14:paraId="5E4C3DB9">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克拉玛依区住房和城乡建设局是克拉玛依区人民政府工作部门，为正科级，办公地点为城建大厦B座四层全层、三层和五层一部分，使用总面积共计848.59平方米（办公面积647.44平方米，公共面积201.18平方米），楼内办公人员92人，人均办公面积为7平方米。现配置车辆5辆（均为带司机的公务用车）。</w:t>
      </w:r>
    </w:p>
    <w:p w14:paraId="5B0330E0">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克拉玛依区住房和城乡建设局贯彻落实党中央、自治区党委的方针政策和决策部署，落实市委工作要求，在履行职责过程中坚持和加强党对工作的集中统一领导。主要职责是：</w:t>
      </w:r>
    </w:p>
    <w:p w14:paraId="7643A487">
      <w:pPr>
        <w:numPr>
          <w:ilvl w:val="0"/>
          <w:numId w:val="0"/>
        </w:numPr>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贯彻执行国家、自治区、市有关住房和城乡建设、交通运输管理、人民防空的法律法规规章和方针政策；拟订住房和城乡建设、交通运输管理、人民防空相关的政策、规范性文件、中长期规划和年度计划并组织监督实施；负责提出住房和城乡建设、交通运输管理、人民防空重大问题的政策建议。</w:t>
      </w:r>
    </w:p>
    <w:p w14:paraId="4BA408BD">
      <w:pPr>
        <w:numPr>
          <w:ilvl w:val="0"/>
          <w:numId w:val="0"/>
        </w:numPr>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承担全区建筑业企业各方主体行为的管理责任，依法查处建筑业企业的各类违法违规行为；负责全区建筑工程施工许可证审批、核发；参与农民工劳资纠纷接访，联合执法检查；组织协调解决并查处因违法转分包行为导致农民工工资拖欠的案件；承担辖区内建设工程合同备案的管理责任；参与工程建设领域信用体系建设工作。</w:t>
      </w:r>
    </w:p>
    <w:p w14:paraId="09C098B0">
      <w:pPr>
        <w:numPr>
          <w:ilvl w:val="0"/>
          <w:numId w:val="0"/>
        </w:numPr>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3）指导辖区建筑业企业科技管理和建筑标准化推广应用工作，组织实施绿色建筑发展、建筑节能和新产品、新技术的推广应用工作；承担勘察设计企业和施工图审查机构的管理责任；监督辖区各单位对权属房屋建筑及其附属设施和城市市政工程的抗震工作，参与震后重建工作；参与辖区村镇建设管理工作，指导村镇建设、农村住房建设、农村住房安全和危房改造工作。</w:t>
      </w:r>
    </w:p>
    <w:p w14:paraId="6CC42CF0">
      <w:pPr>
        <w:numPr>
          <w:ilvl w:val="0"/>
          <w:numId w:val="0"/>
        </w:numPr>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（4）会同市级部门做好辖区人民防空及辖区园林绿化管理工作。</w:t>
      </w:r>
    </w:p>
    <w:p w14:paraId="0B3B943D">
      <w:pPr>
        <w:numPr>
          <w:ilvl w:val="0"/>
          <w:numId w:val="0"/>
        </w:numPr>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5）拟定城镇市政基础设施建设前期计划；参与编制、审核城镇市政基础设施建设项目年度投资计划和资金计划；参与项目可行性研究等工程建设前期工作；参与协调解决重点项目建设实施过程中的有关问题；组织实施城市地下空间的开发和利用；监督管理城市雕塑工作。</w:t>
      </w:r>
    </w:p>
    <w:p w14:paraId="582E5987">
      <w:pPr>
        <w:numPr>
          <w:ilvl w:val="0"/>
          <w:numId w:val="0"/>
        </w:numPr>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6）承担房屋建筑和市政基础设施工程（以下简称工程）质量监督管理的责任；组织监督实施工程质量监督管理的政策、办法；承担权限内建设、勘察、设计、施工、监理单位的工程质量行为监督管理责任，依法查处建设工程质量违法违规行为；承担工程竣工验收备案的责任；负责房屋建筑工程质量投诉处理；组织建设工程质量、安全事故的调查处理。</w:t>
      </w:r>
    </w:p>
    <w:p w14:paraId="6D525101">
      <w:pPr>
        <w:numPr>
          <w:ilvl w:val="0"/>
          <w:numId w:val="0"/>
        </w:numPr>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7）承担建设工程安全管理责任；监督各有关单位贯彻执行国家及上级部门颁布的有关安全的政策、法律、法规、技术标准和文件；负责按照国家及上级部门颁布的有关安全的政策、法律、法规、技术标准和文件监督管理施工现场安全；参与对重大安全事故的调查处理。</w:t>
      </w:r>
    </w:p>
    <w:p w14:paraId="0561F13E">
      <w:pPr>
        <w:numPr>
          <w:ilvl w:val="0"/>
          <w:numId w:val="0"/>
        </w:numPr>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8）承担推进规范村镇特色建设的职责。拟订小城镇和村庄建设政策、制度和计划并监督实施；负责农村住房建设、农村住房安全和危房改造工作；负责特色小城镇和村庄人居绿色生态环境的整治、改善和建设工作；负责全区城市及村镇建设的统计工作。</w:t>
      </w:r>
    </w:p>
    <w:p w14:paraId="5AE7D33F">
      <w:pPr>
        <w:numPr>
          <w:ilvl w:val="0"/>
          <w:numId w:val="0"/>
        </w:numPr>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9）会同有关部门规范房地产市场开发经营行为；拟定辖区房地产综合开发、房屋权属管理、商品房销售、房屋租赁、房地产估价机构与经纪管理、物业管理的规章制度并组织实施；组织实施房屋征收与补偿工作；会同财政部门负责住宅专项维修资金的指导和监督工作；承担公租房的建设管理以及棚户区改造工作责任。</w:t>
      </w:r>
    </w:p>
    <w:p w14:paraId="1746AD2D">
      <w:pPr>
        <w:numPr>
          <w:ilvl w:val="0"/>
          <w:numId w:val="0"/>
        </w:numPr>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10）会同市级部门对城市公交及交通基础设施建设进行管理；承担农村公路的监督管理责任；会同市级部门对管辖水域渔船及相关水上设施进行检验和监督管理；参与有关事故的调查处理和责任认定；指导交通运输综合行政执法工作；会同有关部门组织交通运输行业职业教育和培训工作。</w:t>
      </w:r>
    </w:p>
    <w:p w14:paraId="748CFF11">
      <w:pPr>
        <w:numPr>
          <w:ilvl w:val="0"/>
          <w:numId w:val="0"/>
        </w:numPr>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11）承担涉及有关住房和城乡建设、交通运输管理、人民防空的行政复议、行政诉讼和信访接待工作的责任；负责管辖权限范围内相关法律、法规的宣传教育、成果公（展）示、信息化建设及维护、业务培训等工作。</w:t>
      </w:r>
    </w:p>
    <w:p w14:paraId="63890629">
      <w:pPr>
        <w:numPr>
          <w:ilvl w:val="0"/>
          <w:numId w:val="0"/>
        </w:numPr>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（12）完成区委、区人民政府交办的其他任务。</w:t>
      </w:r>
    </w:p>
    <w:p w14:paraId="24347DBB">
      <w:pPr>
        <w:numPr>
          <w:ilvl w:val="0"/>
          <w:numId w:val="0"/>
        </w:numPr>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克拉玛依区住房和城乡建设局（交通运输局、人防办）党组成员4人，核定编制57人，实际在编在岗53人。代管人员64人，分别为事业编11人、工勤岗32人、事业性岗位13人，聘用4人，西部计划3人，总计在岗人员116人。党员51人（其中预备党员1人）。单位由局机关和“两站五中心”组成，其中：局机关包含综合（法制、城建）办公室、建筑市场监管办、建筑节能与勘察设计管理办（抗震、村镇、人防、消防）、计划办；“两站五中心”为建设工程安全监督站、建设工程质量监督站、房产和物业管理中心、园林绿化管理中心、交通运输管理中心、工程项目建设管理中心、房屋征收和土地储备管理中心。</w:t>
      </w:r>
    </w:p>
    <w:p w14:paraId="3D92F5F0">
      <w:pPr>
        <w:pStyle w:val="6"/>
        <w:numPr>
          <w:ilvl w:val="0"/>
          <w:numId w:val="12"/>
        </w:numPr>
        <w:bidi w:val="0"/>
        <w:ind w:left="0" w:leftChars="0" w:firstLine="40" w:firstLineChars="0"/>
        <w:rPr>
          <w:rFonts w:hint="eastAsia"/>
          <w:highlight w:val="none"/>
          <w:lang w:val="en-US" w:eastAsia="zh-CN"/>
        </w:rPr>
      </w:pPr>
      <w:r>
        <w:rPr>
          <w:rFonts w:hint="eastAsia"/>
          <w:highlight w:val="none"/>
          <w:lang w:val="en-US" w:eastAsia="zh-CN"/>
        </w:rPr>
        <w:t>立项背景及目的</w:t>
      </w:r>
    </w:p>
    <w:p w14:paraId="0FA303C8">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推动大规模设备更新和消费品以旧换新是加快构建新发展格局、推动高质量发展的重要举措，将有力促进投资和消费，既利当前、更利长远。2024年以来，国务院实施大规模设备更新和消费品以旧换新行动，部署了老旧住宅电梯更新工作。随着电梯使用年限的增长和零部件的磨损，部分老旧住宅电梯故障率增高，影响了居民的日常电梯出行，克拉玛依区住建局根据住建部《关于做好申报超长期特别国债支持住宅老旧电梯更新改造项目有关工作要求》，将住宅老旧电梯更新改造纳入超长期特别国债支持范围，支持依法依规建设的住宅楼中已办理使用登记、使用年限长、配置水平很低、运行故障率高、群众更新改造意愿强烈的电梯更新改造。2024年8月，克拉玛依区住建局联合各街道对辖区已交付使用15年以上或电梯故障率高、安全隐患突出的普通住宅老旧电梯进行了摸排，并将电梯台账提交至自治区住建厅、国家住建部。</w:t>
      </w:r>
    </w:p>
    <w:p w14:paraId="04A503EA">
      <w:pPr>
        <w:pStyle w:val="5"/>
        <w:numPr>
          <w:ilvl w:val="0"/>
          <w:numId w:val="11"/>
        </w:numPr>
        <w:bidi w:val="0"/>
        <w:ind w:left="420" w:leftChars="0" w:firstLine="218" w:firstLineChars="68"/>
        <w:rPr>
          <w:rFonts w:hint="eastAsia"/>
          <w:highlight w:val="none"/>
          <w:lang w:val="en-US" w:eastAsia="zh-CN"/>
        </w:rPr>
      </w:pPr>
      <w:bookmarkStart w:id="107" w:name="_Toc1096"/>
      <w:bookmarkStart w:id="108" w:name="_Toc14154"/>
      <w:bookmarkStart w:id="109" w:name="_Toc27709"/>
      <w:r>
        <w:rPr>
          <w:rFonts w:hint="eastAsia"/>
          <w:highlight w:val="none"/>
          <w:lang w:val="en-US" w:eastAsia="zh-CN"/>
        </w:rPr>
        <w:t>项目资金安排及使用情况</w:t>
      </w:r>
      <w:bookmarkEnd w:id="107"/>
      <w:bookmarkEnd w:id="108"/>
      <w:bookmarkEnd w:id="109"/>
    </w:p>
    <w:p w14:paraId="514A7E44">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A2024-061、A2024-062、A2024-063、A2024-064、A2024-065克拉玛依区老旧电梯更新改造项目全年预算总额 390 万元，预算资金及时足额拨付到位。资金来源为超长期特别国债，项目预算未调整。截至2024年12月31日，实际支出390万元，预算执行率100%。</w:t>
      </w:r>
    </w:p>
    <w:p w14:paraId="462B6DB1">
      <w:pPr>
        <w:pStyle w:val="5"/>
        <w:numPr>
          <w:ilvl w:val="0"/>
          <w:numId w:val="11"/>
        </w:numPr>
        <w:bidi w:val="0"/>
        <w:ind w:left="420" w:leftChars="0" w:firstLine="218" w:firstLineChars="68"/>
        <w:rPr>
          <w:rFonts w:hint="eastAsia"/>
          <w:highlight w:val="none"/>
          <w:lang w:val="en-US" w:eastAsia="zh-CN"/>
        </w:rPr>
      </w:pPr>
      <w:bookmarkStart w:id="110" w:name="_Toc28527"/>
      <w:bookmarkStart w:id="111" w:name="_Toc9966"/>
      <w:bookmarkStart w:id="112" w:name="_Toc17918"/>
      <w:r>
        <w:rPr>
          <w:rFonts w:hint="eastAsia"/>
          <w:highlight w:val="none"/>
          <w:lang w:val="en-US" w:eastAsia="zh-CN"/>
        </w:rPr>
        <w:t>项目组织情况及实施进展情况</w:t>
      </w:r>
      <w:bookmarkEnd w:id="110"/>
      <w:bookmarkEnd w:id="111"/>
      <w:bookmarkEnd w:id="112"/>
    </w:p>
    <w:p w14:paraId="079B5E3F">
      <w:pPr>
        <w:pStyle w:val="6"/>
        <w:numPr>
          <w:ilvl w:val="0"/>
          <w:numId w:val="13"/>
        </w:numPr>
        <w:bidi w:val="0"/>
        <w:ind w:left="0" w:leftChars="0" w:firstLine="640" w:firstLineChars="200"/>
        <w:rPr>
          <w:rFonts w:hint="eastAsia"/>
          <w:highlight w:val="none"/>
          <w:lang w:val="en-US" w:eastAsia="zh-CN"/>
        </w:rPr>
      </w:pPr>
      <w:r>
        <w:rPr>
          <w:rFonts w:hint="eastAsia"/>
          <w:highlight w:val="none"/>
          <w:lang w:val="en-US" w:eastAsia="zh-CN"/>
        </w:rPr>
        <w:t>项目组织情况</w:t>
      </w:r>
    </w:p>
    <w:p w14:paraId="64C2F52F">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本项目过程涉及的单位包括克拉玛依区住房和城乡建设局、克拉玛依华瑞物业服务有限责任公司、克拉玛依市康润物业服务有限公司、新疆恒鼎鑫物业服务有限公司、克拉玛依市博峰物业服务有限公司、克拉玛依市永升物业服务有限责任公司、克拉玛依市荣立达科技有限公司、各单位职责如下：</w:t>
      </w:r>
    </w:p>
    <w:p w14:paraId="6230A4EF">
      <w:pPr>
        <w:ind w:left="0" w:leftChars="0" w:firstLine="0" w:firstLineChars="0"/>
        <w:rPr>
          <w:rFonts w:hint="eastAsia"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项目指导单位：</w:t>
      </w:r>
    </w:p>
    <w:p w14:paraId="6C4B3C13">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克拉玛依区住房和城乡建设局</w:t>
      </w:r>
    </w:p>
    <w:p w14:paraId="67F7B84A">
      <w:pPr>
        <w:ind w:left="0" w:leftChars="0" w:firstLine="0" w:firstLineChars="0"/>
        <w:rPr>
          <w:rFonts w:hint="eastAsia"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项目建设单位：</w:t>
      </w:r>
    </w:p>
    <w:p w14:paraId="46271DA5">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克拉玛依华瑞物业服务有限责任公司受业主委员会委托，负责A2024-061项目办理维修资金使用流程，与施工单位签订合同，并向住建部门上报材料、组织维修以及竣工验收等工作。</w:t>
      </w:r>
    </w:p>
    <w:p w14:paraId="5CFCAE68">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克拉玛依市康润物业服务有限公司受业主委员会委托，负责A2024-062项目办理维修资金使用流程，与施工单位签订合同，并向住建部门上报材料、组织维修以及竣工验收等工作。</w:t>
      </w:r>
    </w:p>
    <w:p w14:paraId="5A5FE0D2">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新疆恒鼎鑫物业服务有限公司受业主委员会委托，负责A2024-063项目办理维修资金使用流程，与施工单位签订合同，并向住建部门上报材料、组织维修以及竣工验收等工作。</w:t>
      </w:r>
    </w:p>
    <w:p w14:paraId="1F4D09F7">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克拉玛依市博峰物业服务有限公司受业主委员会委托，负责A2024-064项目办理维修资金使用流程，与施工单位签订合同，并向住建部门上报材料、组织维修以及竣工验收等工作。</w:t>
      </w:r>
    </w:p>
    <w:p w14:paraId="0F6D372D">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克拉玛依市永升物业服务有限责任公司受业主委员会委托，负责A2024-065项目办理维修资金使用流程，与施工单位签订合同，并向住建部门上报材料、组织维修以及竣工验收等工作。</w:t>
      </w:r>
    </w:p>
    <w:p w14:paraId="1FB8E75F">
      <w:pPr>
        <w:ind w:left="0" w:leftChars="0" w:firstLine="0" w:firstLineChars="0"/>
        <w:rPr>
          <w:rFonts w:hint="eastAsia"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项目施工单位：</w:t>
      </w:r>
    </w:p>
    <w:p w14:paraId="0A775E7F">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克拉玛依市荣立达科技有限公司负责A2024-061天池北小区43栋2部电梯设备的设计、生产、运输、旧梯拆卸、保管、安装、调试、验收、质量保修、维护保养及售后服务、使用培训等全部施工内容。</w:t>
      </w:r>
    </w:p>
    <w:p w14:paraId="0BC4EA17">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新疆大方机电设备有限公司负责A2024-062园林小区18、19栋4部电梯设备的设计、生产、运输、旧梯拆卸、保管、安装、调试、验收、质量保修、维护保养及售后服务、使用培训等全部施工内容。</w:t>
      </w:r>
    </w:p>
    <w:p w14:paraId="4E7E5BE2">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河北朋佰电梯工程有限公司负责A2024-063向阳南小区28栋1部电梯设备的设计、生产、运输、旧梯拆卸、保管、安装、调试、验收、质量保修、维护保养及售后服务、使用培训等全部施工内容。</w:t>
      </w:r>
    </w:p>
    <w:p w14:paraId="4E61CB04">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四川中恒聚安建设有限公司负责A2024-063向阳南小区29栋2部电梯设备的设计、生产、运输、旧梯拆卸、保管、安装、调试、验收、质量保修、维护保养及售后服务、使用培训等全部施工内容。</w:t>
      </w:r>
    </w:p>
    <w:p w14:paraId="2290A7D1">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克拉玛依市荣立达科技有限公司负责A2024-064胜利小区59、60、61栋4部，前进北小区73、74、75、76栋4部，前进南小区86栋2部，黎明小区11栋3部，共计13部电梯设备的设计、生产、运输、旧梯拆卸、保管、安装、调试、验收、质量保修、维护保养及售后服务、使用培训等全部施工内容。</w:t>
      </w:r>
    </w:p>
    <w:p w14:paraId="44E27618">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江苏恒荣机电科技有限公司负责A2024-065永升花苑小区9、35、36栋4部电梯设备的设计、生产、运输、旧梯拆卸、保管、安装、调试、验收、质量保修、维护保养及售后服务、使用培训等全部施工内容。</w:t>
      </w:r>
    </w:p>
    <w:p w14:paraId="6D094FAF">
      <w:pPr>
        <w:ind w:left="0" w:leftChars="0" w:firstLine="0" w:firstLineChars="0"/>
        <w:rPr>
          <w:rFonts w:hint="eastAsia"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项目监理单位：</w:t>
      </w:r>
    </w:p>
    <w:p w14:paraId="1F2510D9">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新疆科盟工程项目管理咨询有限公司依斐分公司负责A2024-061天池北小区43栋2部电梯更换项目从施工开始到工程质量保修阶段结束为止的监理服务，在此期间对本工程提供建设过程中的质量、进度、费用控制配合工作、安全生产监督管理、合同、信息、设备采购等方面的协调管理等相关监理服务。</w:t>
      </w:r>
    </w:p>
    <w:p w14:paraId="3E66A857">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新疆天麒工程项目管理咨询有限责任公司负责A2024-062园林小区18、19栋4部电梯更换项目从施工开始到工程质量保修阶段结束为止的监理服务，在此期间对本工程提供建设过程中的质量、进度、费用控制配合工作、安全生产监督管理、合同、信息、设备采购等方面的协调管理等相关监理服务。</w:t>
      </w:r>
    </w:p>
    <w:p w14:paraId="403F2277">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新疆科盟工程项目管理咨询有限公司依斐分公司负责A2024-063向阳南小区28、29栋3部电梯更换项目从施工开始到工程质量保修阶段结束为止的监理服务，在此期间对本工程提供建设过程中的质量、进度、费用控制配合工作、安全生产监督管理、合同、信息、设备采购等方面的协调管理等相关监理服务。</w:t>
      </w:r>
    </w:p>
    <w:p w14:paraId="34478F49">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新疆科盟工程项目管理咨询有限公司克拉玛依分公司负责A2024-064前进南小区86栋2部，前进北小区73、74、75、76栋4部、胜利小区59、60、61栋4部，黎明小区11栋3部电梯更换项目从施工开始到工程质量保修阶段结束为止的监理服务，在此期间对本工程提供建设过程中的质量、进度、费用控制配合工作、安全生产监督管理、合同、信息、设备采购等方面的协调管理等相关监理服务。</w:t>
      </w:r>
    </w:p>
    <w:p w14:paraId="1235BB4E">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新疆科盟工程项目管理咨询有限公司依斐分公司负责A2024-065永升花苑小区9、35、36栋4部电梯更换项目从施工开始到工程质量保修阶段结束为止的监理服务，在此期间对本工程提供建设过程中的质量、进度、费用控制配合工作、安全生产监督管理、合同、信息、设备采购等方面的协调管理等相关监理服务。</w:t>
      </w:r>
    </w:p>
    <w:p w14:paraId="5809F580">
      <w:pPr>
        <w:pStyle w:val="6"/>
        <w:numPr>
          <w:ilvl w:val="0"/>
          <w:numId w:val="13"/>
        </w:numPr>
        <w:bidi w:val="0"/>
        <w:ind w:left="0" w:leftChars="0" w:firstLine="640" w:firstLineChars="0"/>
        <w:rPr>
          <w:rFonts w:hint="eastAsia"/>
          <w:highlight w:val="none"/>
          <w:lang w:val="en-US" w:eastAsia="zh-CN"/>
        </w:rPr>
      </w:pPr>
      <w:r>
        <w:rPr>
          <w:rFonts w:hint="eastAsia"/>
          <w:highlight w:val="none"/>
          <w:lang w:val="en-US" w:eastAsia="zh-CN"/>
        </w:rPr>
        <w:t>项目实施进展情况</w:t>
      </w:r>
    </w:p>
    <w:p w14:paraId="0D63EA6C">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2024年8月13日提交A2024-061、A2024-062、A2024-063、A2024-064、A2024-065项目资金申请报告；</w:t>
      </w:r>
    </w:p>
    <w:p w14:paraId="20821662">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2024年8月15日收到克拉玛依区发展和改革委员会下发的A2024-061、A2024-062、A2024-063、A2024-064、A2024-065联合审批投资项目赋码通知书，获取投资项目备案证；</w:t>
      </w:r>
    </w:p>
    <w:p w14:paraId="15D60102">
      <w:pPr>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2024年11月1日签订A2024-061电梯设备采购安装合同，2025年4月11日及5月22日分批次取得特种设备使用登记证；</w:t>
      </w:r>
    </w:p>
    <w:p w14:paraId="5C99C2D6">
      <w:pPr>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2024年11月22日签订A2024-062电梯设备采购安装合同，2025年1月24日取得特种设备使用登记证；</w:t>
      </w:r>
    </w:p>
    <w:p w14:paraId="542A1639">
      <w:pPr>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2024年11月22日及12月14日分批次签订A2024-063电梯设备采购安装合同，2025年3月21日及5月7日分批次取得电梯监督检验报告；</w:t>
      </w:r>
    </w:p>
    <w:p w14:paraId="25CED1A3">
      <w:pPr>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2024年11月1日签订A2024-064电梯设备采购安装合同，2025年4月3日及2025年5月15日分批次取得特种设备使用登记证；</w:t>
      </w:r>
    </w:p>
    <w:p w14:paraId="55FD019A">
      <w:pPr>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2024年12月24日签订A2024-065电梯设备采购安装合同，2025年5月19日及6月20日分批次取得电梯监督检验报告。</w:t>
      </w:r>
    </w:p>
    <w:p w14:paraId="2664CBE1">
      <w:pPr>
        <w:pStyle w:val="6"/>
        <w:numPr>
          <w:ilvl w:val="0"/>
          <w:numId w:val="13"/>
        </w:numPr>
        <w:bidi w:val="0"/>
        <w:ind w:left="0" w:leftChars="0" w:firstLine="640" w:firstLineChars="0"/>
        <w:rPr>
          <w:rFonts w:hint="eastAsia"/>
          <w:highlight w:val="none"/>
          <w:lang w:val="en-US" w:eastAsia="zh-CN"/>
        </w:rPr>
      </w:pPr>
      <w:r>
        <w:rPr>
          <w:rFonts w:hint="eastAsia"/>
          <w:highlight w:val="none"/>
          <w:lang w:val="en-US" w:eastAsia="zh-CN"/>
        </w:rPr>
        <w:t>制度建设情况</w:t>
      </w:r>
    </w:p>
    <w:p w14:paraId="1554D264">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克拉玛依区住房和城乡建设局财务和业务管理制度较为健全。由于高层住宅换电梯目前尚无统一的指导性政策，克拉玛依区住房和城乡建设局结合本地实际，制定了《克拉玛依区老旧住宅电梯更新实施方案》《电梯更新政策解释》等相应制度与方案。</w:t>
      </w:r>
    </w:p>
    <w:p w14:paraId="58DECC9C">
      <w:pPr>
        <w:pStyle w:val="5"/>
        <w:numPr>
          <w:ilvl w:val="0"/>
          <w:numId w:val="11"/>
        </w:numPr>
        <w:bidi w:val="0"/>
        <w:ind w:left="420" w:leftChars="0" w:firstLine="218" w:firstLineChars="68"/>
        <w:rPr>
          <w:rFonts w:hint="eastAsia"/>
          <w:highlight w:val="none"/>
          <w:lang w:val="en-US" w:eastAsia="zh-CN"/>
        </w:rPr>
      </w:pPr>
      <w:bookmarkStart w:id="113" w:name="_Toc29790"/>
      <w:bookmarkStart w:id="114" w:name="_Toc29590"/>
      <w:bookmarkStart w:id="115" w:name="_Toc17651"/>
      <w:r>
        <w:rPr>
          <w:rFonts w:hint="eastAsia"/>
          <w:highlight w:val="none"/>
          <w:lang w:val="en-US" w:eastAsia="zh-CN"/>
        </w:rPr>
        <w:t>项目绩效目标情况</w:t>
      </w:r>
      <w:bookmarkEnd w:id="113"/>
      <w:bookmarkEnd w:id="114"/>
      <w:bookmarkEnd w:id="115"/>
    </w:p>
    <w:p w14:paraId="092E30FD">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2024年根据住建部、国家发展改革委、市场监管总局印发《关于请抓紧做好2024年住宅老旧电梯更新改造有关工作的通知》文件，克拉玛依区申请超长期国债390万元，对26部已办理使用登记、使用年限长、配置水平低、运行故障率高、群众更新改造意愿强烈的电梯更新改造。改造后的居民用上了安全、可靠的新电梯，出行更加安全便捷，幸福感显著增强。</w:t>
      </w:r>
    </w:p>
    <w:p w14:paraId="5C65912E">
      <w:pPr>
        <w:pStyle w:val="5"/>
        <w:numPr>
          <w:ilvl w:val="0"/>
          <w:numId w:val="11"/>
        </w:numPr>
        <w:bidi w:val="0"/>
        <w:ind w:left="420" w:leftChars="0" w:firstLine="218" w:firstLineChars="68"/>
        <w:rPr>
          <w:rFonts w:hint="eastAsia"/>
          <w:highlight w:val="none"/>
          <w:lang w:val="en-US" w:eastAsia="zh-CN"/>
        </w:rPr>
      </w:pPr>
      <w:bookmarkStart w:id="116" w:name="_Toc9013"/>
      <w:bookmarkStart w:id="117" w:name="_Toc25021"/>
      <w:bookmarkStart w:id="118" w:name="_Toc2417"/>
      <w:r>
        <w:rPr>
          <w:rFonts w:hint="eastAsia"/>
          <w:highlight w:val="none"/>
          <w:lang w:val="en-US" w:eastAsia="zh-CN"/>
        </w:rPr>
        <w:t>绩效自评情况及结论</w:t>
      </w:r>
      <w:bookmarkEnd w:id="116"/>
      <w:bookmarkEnd w:id="117"/>
      <w:bookmarkEnd w:id="118"/>
    </w:p>
    <w:p w14:paraId="4D7B7DB3">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A2024-061、A2024-062、A2024-063、A2024-064、A2024-065克拉玛依区老旧电梯更新改造项目截至2024年12月31日，完成了项目支出绩效目标表和项目支出绩效自评表的编制。自评表得分为100分，自评等级为“优”。</w:t>
      </w:r>
    </w:p>
    <w:p w14:paraId="1B0B8889">
      <w:pPr>
        <w:pStyle w:val="4"/>
        <w:numPr>
          <w:ilvl w:val="0"/>
          <w:numId w:val="10"/>
        </w:numPr>
        <w:bidi w:val="0"/>
        <w:rPr>
          <w:rFonts w:hint="eastAsia"/>
          <w:highlight w:val="none"/>
          <w:lang w:val="en-US" w:eastAsia="zh-CN"/>
        </w:rPr>
      </w:pPr>
      <w:bookmarkStart w:id="119" w:name="_Toc20741"/>
      <w:bookmarkStart w:id="120" w:name="_Toc1316"/>
      <w:bookmarkStart w:id="121" w:name="_Toc12354"/>
      <w:r>
        <w:rPr>
          <w:rFonts w:hint="eastAsia"/>
          <w:highlight w:val="none"/>
          <w:lang w:val="en-US" w:eastAsia="zh-CN"/>
        </w:rPr>
        <w:t>绩效评价组织情况</w:t>
      </w:r>
      <w:bookmarkEnd w:id="119"/>
      <w:bookmarkEnd w:id="120"/>
      <w:bookmarkEnd w:id="121"/>
    </w:p>
    <w:p w14:paraId="53F1CC1C">
      <w:pPr>
        <w:pStyle w:val="5"/>
        <w:numPr>
          <w:ilvl w:val="0"/>
          <w:numId w:val="14"/>
        </w:numPr>
        <w:bidi w:val="0"/>
        <w:ind w:left="420" w:leftChars="0" w:firstLine="218" w:firstLineChars="68"/>
        <w:rPr>
          <w:rFonts w:hint="eastAsia"/>
          <w:highlight w:val="none"/>
          <w:lang w:val="en-US" w:eastAsia="zh-CN"/>
        </w:rPr>
      </w:pPr>
      <w:bookmarkStart w:id="122" w:name="_Toc972"/>
      <w:bookmarkStart w:id="123" w:name="_Toc12065"/>
      <w:bookmarkStart w:id="124" w:name="_Toc30793"/>
      <w:r>
        <w:rPr>
          <w:rFonts w:hint="eastAsia"/>
          <w:highlight w:val="none"/>
          <w:lang w:val="en-US" w:eastAsia="zh-CN"/>
        </w:rPr>
        <w:t>绩效评价目的</w:t>
      </w:r>
      <w:bookmarkEnd w:id="122"/>
      <w:bookmarkEnd w:id="123"/>
      <w:bookmarkEnd w:id="124"/>
    </w:p>
    <w:p w14:paraId="6C34C72D">
      <w:pPr>
        <w:numPr>
          <w:ilvl w:val="0"/>
          <w:numId w:val="15"/>
        </w:numPr>
        <w:ind w:left="0" w:leftChars="0" w:firstLine="640" w:firstLineChars="200"/>
        <w:outlineLvl w:val="2"/>
        <w:rPr>
          <w:rFonts w:hint="eastAsia" w:ascii="仿宋_GB2312" w:hAnsi="仿宋_GB2312" w:eastAsia="仿宋_GB2312" w:cs="仿宋_GB2312"/>
          <w:highlight w:val="none"/>
          <w:lang w:val="en-US" w:eastAsia="zh-CN"/>
        </w:rPr>
      </w:pPr>
      <w:bookmarkStart w:id="125" w:name="_Toc10307"/>
      <w:bookmarkStart w:id="126" w:name="_Toc509"/>
      <w:bookmarkStart w:id="127" w:name="_Toc20990"/>
      <w:r>
        <w:rPr>
          <w:rFonts w:hint="eastAsia" w:ascii="仿宋_GB2312" w:hAnsi="仿宋_GB2312" w:eastAsia="仿宋_GB2312" w:cs="仿宋_GB2312"/>
          <w:highlight w:val="none"/>
          <w:lang w:val="en-US" w:eastAsia="zh-CN"/>
        </w:rPr>
        <w:t>评估项目实施效果</w:t>
      </w:r>
      <w:bookmarkEnd w:id="125"/>
      <w:bookmarkEnd w:id="126"/>
      <w:bookmarkEnd w:id="127"/>
    </w:p>
    <w:p w14:paraId="76089AD4">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通过对项目预算执行情况及各项绩效目标达成程度的系统性分析，全面、客观地评估项目在预定周期内的实施效果，包括经济效益、社会效益以及可持续性等多维度指标，为项目后续的改进与优化提供科学依据。</w:t>
      </w:r>
    </w:p>
    <w:p w14:paraId="5BBDAA79">
      <w:pPr>
        <w:numPr>
          <w:ilvl w:val="0"/>
          <w:numId w:val="15"/>
        </w:numPr>
        <w:ind w:left="0" w:leftChars="0" w:firstLine="640" w:firstLineChars="0"/>
        <w:outlineLvl w:val="2"/>
        <w:rPr>
          <w:rFonts w:hint="eastAsia" w:ascii="仿宋_GB2312" w:hAnsi="仿宋_GB2312" w:eastAsia="仿宋_GB2312" w:cs="仿宋_GB2312"/>
          <w:highlight w:val="none"/>
          <w:lang w:val="en-US" w:eastAsia="zh-CN"/>
        </w:rPr>
      </w:pPr>
      <w:bookmarkStart w:id="128" w:name="_Toc8781"/>
      <w:bookmarkStart w:id="129" w:name="_Toc2529"/>
      <w:bookmarkStart w:id="130" w:name="_Toc11406"/>
      <w:r>
        <w:rPr>
          <w:rFonts w:hint="eastAsia" w:ascii="仿宋_GB2312" w:hAnsi="仿宋_GB2312" w:eastAsia="仿宋_GB2312" w:cs="仿宋_GB2312"/>
          <w:highlight w:val="none"/>
          <w:lang w:val="en-US" w:eastAsia="zh-CN"/>
        </w:rPr>
        <w:t>提升资源利用效率</w:t>
      </w:r>
      <w:bookmarkEnd w:id="128"/>
      <w:bookmarkEnd w:id="129"/>
      <w:bookmarkEnd w:id="130"/>
    </w:p>
    <w:p w14:paraId="4D10ABC6">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深入剖析项目预算资金的投入与产出关系，识别资金使用过程中的冗余环节与低效领域，挖掘潜在的资源优化配置空间，推动项目在有限的预算资源下实现更高的绩效产出，提升整体资源利用效率，确保财政资金的合理、高效运用。</w:t>
      </w:r>
    </w:p>
    <w:p w14:paraId="0ECAA25F">
      <w:pPr>
        <w:numPr>
          <w:ilvl w:val="0"/>
          <w:numId w:val="15"/>
        </w:numPr>
        <w:ind w:left="0" w:leftChars="0" w:firstLine="640" w:firstLineChars="0"/>
        <w:outlineLvl w:val="2"/>
        <w:rPr>
          <w:rFonts w:hint="eastAsia" w:ascii="仿宋_GB2312" w:hAnsi="仿宋_GB2312" w:eastAsia="仿宋_GB2312" w:cs="仿宋_GB2312"/>
          <w:highlight w:val="none"/>
          <w:lang w:val="en-US" w:eastAsia="zh-CN"/>
        </w:rPr>
      </w:pPr>
      <w:bookmarkStart w:id="131" w:name="_Toc14306"/>
      <w:bookmarkStart w:id="132" w:name="_Toc5481"/>
      <w:bookmarkStart w:id="133" w:name="_Toc7625"/>
      <w:r>
        <w:rPr>
          <w:rFonts w:hint="eastAsia" w:ascii="仿宋_GB2312" w:hAnsi="仿宋_GB2312" w:eastAsia="仿宋_GB2312" w:cs="仿宋_GB2312"/>
          <w:highlight w:val="none"/>
          <w:lang w:val="en-US" w:eastAsia="zh-CN"/>
        </w:rPr>
        <w:t>强化项目管理责任</w:t>
      </w:r>
      <w:bookmarkEnd w:id="131"/>
      <w:bookmarkEnd w:id="132"/>
      <w:bookmarkEnd w:id="133"/>
    </w:p>
    <w:p w14:paraId="4BFD9FC0">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明确项目各参与主体在预算绩效管理中的职责与任务，借助绩效评价结果对项目管理过程进行监督与问责，促使项目管理者增强责任意识，主动优化管理流程，完善内部控制机制，提高项目管理水平与执行力，保障项目按计划、高质量推进。</w:t>
      </w:r>
    </w:p>
    <w:p w14:paraId="55220DFE">
      <w:pPr>
        <w:numPr>
          <w:ilvl w:val="0"/>
          <w:numId w:val="15"/>
        </w:numPr>
        <w:ind w:left="0" w:leftChars="0" w:firstLine="640" w:firstLineChars="0"/>
        <w:outlineLvl w:val="2"/>
        <w:rPr>
          <w:rFonts w:hint="eastAsia" w:ascii="仿宋_GB2312" w:hAnsi="仿宋_GB2312" w:eastAsia="仿宋_GB2312" w:cs="仿宋_GB2312"/>
          <w:highlight w:val="none"/>
          <w:lang w:val="en-US" w:eastAsia="zh-CN"/>
        </w:rPr>
      </w:pPr>
      <w:bookmarkStart w:id="134" w:name="_Toc10293"/>
      <w:bookmarkStart w:id="135" w:name="_Toc4576"/>
      <w:bookmarkStart w:id="136" w:name="_Toc32461"/>
      <w:r>
        <w:rPr>
          <w:rFonts w:hint="eastAsia" w:ascii="仿宋_GB2312" w:hAnsi="仿宋_GB2312" w:eastAsia="仿宋_GB2312" w:cs="仿宋_GB2312"/>
          <w:highlight w:val="none"/>
          <w:lang w:val="en-US" w:eastAsia="zh-CN"/>
        </w:rPr>
        <w:t>为决策提供支持</w:t>
      </w:r>
      <w:bookmarkEnd w:id="134"/>
      <w:bookmarkEnd w:id="135"/>
      <w:bookmarkEnd w:id="136"/>
    </w:p>
    <w:p w14:paraId="167C3C93">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为项目主管部门、财政部门及相关决策层提供详实、准确的绩效评价信息，辅助其在项目审批、预算安排、政策调整等关键决策环节做出更加科学、合理的判断，促进项目资源的合理分配与有效整合，推动项目管理体系的不断完善与升级，提升公共资源配置的精准度与有效性。</w:t>
      </w:r>
    </w:p>
    <w:p w14:paraId="6483A740">
      <w:pPr>
        <w:numPr>
          <w:ilvl w:val="0"/>
          <w:numId w:val="15"/>
        </w:numPr>
        <w:ind w:left="0" w:leftChars="0" w:firstLine="640" w:firstLineChars="0"/>
        <w:outlineLvl w:val="2"/>
        <w:rPr>
          <w:rFonts w:hint="eastAsia" w:ascii="仿宋_GB2312" w:hAnsi="仿宋_GB2312" w:eastAsia="仿宋_GB2312" w:cs="仿宋_GB2312"/>
          <w:highlight w:val="none"/>
          <w:lang w:val="en-US" w:eastAsia="zh-CN"/>
        </w:rPr>
      </w:pPr>
      <w:bookmarkStart w:id="137" w:name="_Toc25925"/>
      <w:bookmarkStart w:id="138" w:name="_Toc375"/>
      <w:bookmarkStart w:id="139" w:name="_Toc9543"/>
      <w:r>
        <w:rPr>
          <w:rFonts w:hint="eastAsia" w:ascii="仿宋_GB2312" w:hAnsi="仿宋_GB2312" w:eastAsia="仿宋_GB2312" w:cs="仿宋_GB2312"/>
          <w:highlight w:val="none"/>
          <w:lang w:val="en-US" w:eastAsia="zh-CN"/>
        </w:rPr>
        <w:t>促进项目持续改进</w:t>
      </w:r>
      <w:bookmarkEnd w:id="137"/>
      <w:bookmarkEnd w:id="138"/>
      <w:bookmarkEnd w:id="139"/>
    </w:p>
    <w:p w14:paraId="507C8419">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基于绩效评价发现的问题与不足，提出针对性的改进建议与措施，引导项目团队聚焦关键环节，持续优化项目实施方案，加强过程监控与质量把控，形成项目绩效持续改进的良性循环，不断提升项目整体绩效水平，实现项目长期稳定发展的目标。</w:t>
      </w:r>
    </w:p>
    <w:p w14:paraId="0664BDFE">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本项目预算绩效评价报告的编制以提升项目绩效为核心，旨在通过科学、严谨的评价工作，为项目管理与决策提供全方位、深层次的支持，推动项目在预算约束下实现高质量、可持续发展，充分发挥财政资金的经济效益与社会效益。</w:t>
      </w:r>
    </w:p>
    <w:p w14:paraId="614B375C">
      <w:pPr>
        <w:pStyle w:val="5"/>
        <w:numPr>
          <w:ilvl w:val="0"/>
          <w:numId w:val="14"/>
        </w:numPr>
        <w:bidi w:val="0"/>
        <w:ind w:left="420" w:leftChars="0" w:firstLine="218" w:firstLineChars="68"/>
        <w:rPr>
          <w:rFonts w:hint="eastAsia"/>
          <w:highlight w:val="none"/>
          <w:lang w:val="en-US" w:eastAsia="zh-CN"/>
        </w:rPr>
      </w:pPr>
      <w:bookmarkStart w:id="140" w:name="_Toc21674"/>
      <w:bookmarkStart w:id="141" w:name="_Toc29226"/>
      <w:bookmarkStart w:id="142" w:name="_Toc29952"/>
      <w:r>
        <w:rPr>
          <w:rFonts w:hint="eastAsia"/>
          <w:highlight w:val="none"/>
          <w:lang w:val="en-US" w:eastAsia="zh-CN"/>
        </w:rPr>
        <w:t>绩效评价对象和范围</w:t>
      </w:r>
      <w:bookmarkEnd w:id="140"/>
      <w:bookmarkEnd w:id="141"/>
      <w:bookmarkEnd w:id="142"/>
    </w:p>
    <w:p w14:paraId="6A91F0C7">
      <w:pPr>
        <w:pStyle w:val="6"/>
        <w:numPr>
          <w:ilvl w:val="0"/>
          <w:numId w:val="16"/>
        </w:numPr>
        <w:bidi w:val="0"/>
        <w:ind w:left="0" w:leftChars="0" w:firstLine="640" w:firstLineChars="200"/>
        <w:rPr>
          <w:rFonts w:hint="eastAsia"/>
          <w:highlight w:val="none"/>
          <w:lang w:val="en-US" w:eastAsia="zh-CN"/>
        </w:rPr>
      </w:pPr>
      <w:r>
        <w:rPr>
          <w:rFonts w:hint="eastAsia"/>
          <w:highlight w:val="none"/>
          <w:lang w:val="en-US" w:eastAsia="zh-CN"/>
        </w:rPr>
        <w:t>绩效评价对象</w:t>
      </w:r>
    </w:p>
    <w:p w14:paraId="73EFF1FF">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A2024-061、A2024-062、A2024-063、A2024-064、A2024-065克拉玛依区老旧电梯更新改造项目，该项目补助资金总额390万元。</w:t>
      </w:r>
    </w:p>
    <w:p w14:paraId="4ED26FB4">
      <w:pPr>
        <w:pStyle w:val="6"/>
        <w:numPr>
          <w:ilvl w:val="0"/>
          <w:numId w:val="16"/>
        </w:numPr>
        <w:bidi w:val="0"/>
        <w:ind w:left="0" w:leftChars="0" w:firstLine="640" w:firstLineChars="0"/>
        <w:rPr>
          <w:rFonts w:hint="eastAsia"/>
          <w:highlight w:val="none"/>
          <w:lang w:val="en-US" w:eastAsia="zh-CN"/>
        </w:rPr>
      </w:pPr>
      <w:r>
        <w:rPr>
          <w:rFonts w:hint="eastAsia"/>
          <w:highlight w:val="none"/>
          <w:lang w:val="en-US" w:eastAsia="zh-CN"/>
        </w:rPr>
        <w:t>绩效评价范围</w:t>
      </w:r>
    </w:p>
    <w:p w14:paraId="1349DCE9">
      <w:pPr>
        <w:numPr>
          <w:ilvl w:val="0"/>
          <w:numId w:val="0"/>
        </w:numPr>
        <w:ind w:firstLine="640" w:firstLineChars="20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A2024-061、A2024-062、A2024-063、A2024-064、A2024-065克拉玛依区老旧电梯更新改造项目预算绩效评价报告的评价范围广泛而全面，涵盖了从项目立项至评价时点期间的所有关键预算活动和财务流程。具体而言，评价范围包括但不限于以下几个方面：</w:t>
      </w:r>
    </w:p>
    <w:p w14:paraId="62DE56B2">
      <w:pPr>
        <w:numPr>
          <w:ilvl w:val="0"/>
          <w:numId w:val="17"/>
        </w:num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项目预算编制与执行：全面审视项目预算的编制依据、合理性、科学性以及实际执行情况，包括预算调整的原因和效果。</w:t>
      </w:r>
    </w:p>
    <w:p w14:paraId="34DA23DA">
      <w:pPr>
        <w:numPr>
          <w:ilvl w:val="0"/>
          <w:numId w:val="17"/>
        </w:num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资金管理：深入分析项目资金的分配、使用和监管情况，确保资金使用的合规性、高效性和透明度。</w:t>
      </w:r>
    </w:p>
    <w:p w14:paraId="174183BD">
      <w:pPr>
        <w:numPr>
          <w:ilvl w:val="0"/>
          <w:numId w:val="17"/>
        </w:num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项目实施进度与产出：评估项目是否按照既定计划顺利推进，各项任务是否按时完成，以及项目产出的数量、质量和时效性是否符合预期。</w:t>
      </w:r>
    </w:p>
    <w:p w14:paraId="27433100">
      <w:pPr>
        <w:numPr>
          <w:ilvl w:val="0"/>
          <w:numId w:val="17"/>
        </w:num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社会、生态等影响：考察项目对社会、生态、经济等方面的综合影响。</w:t>
      </w:r>
    </w:p>
    <w:p w14:paraId="64934EB4">
      <w:pPr>
        <w:numPr>
          <w:ilvl w:val="0"/>
          <w:numId w:val="17"/>
        </w:num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时间范围：2024 年 1 月 1 日至 2024 年 12 月 31 日。</w:t>
      </w:r>
    </w:p>
    <w:p w14:paraId="2D70C2D1">
      <w:pPr>
        <w:pStyle w:val="5"/>
        <w:numPr>
          <w:ilvl w:val="0"/>
          <w:numId w:val="14"/>
        </w:numPr>
        <w:bidi w:val="0"/>
        <w:ind w:left="420" w:leftChars="0" w:firstLine="218" w:firstLineChars="68"/>
        <w:rPr>
          <w:rFonts w:hint="eastAsia"/>
          <w:highlight w:val="none"/>
          <w:lang w:val="en-US" w:eastAsia="zh-CN"/>
        </w:rPr>
      </w:pPr>
      <w:bookmarkStart w:id="143" w:name="_Toc25898"/>
      <w:bookmarkStart w:id="144" w:name="_Toc7484"/>
      <w:bookmarkStart w:id="145" w:name="_Toc20975"/>
      <w:r>
        <w:rPr>
          <w:rFonts w:hint="eastAsia"/>
          <w:highlight w:val="none"/>
          <w:lang w:val="en-US" w:eastAsia="zh-CN"/>
        </w:rPr>
        <w:t>绩效评价原则</w:t>
      </w:r>
      <w:bookmarkEnd w:id="143"/>
      <w:bookmarkEnd w:id="144"/>
      <w:bookmarkEnd w:id="145"/>
    </w:p>
    <w:p w14:paraId="5ABCAA0C">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本次项目绩效评价遵循以下基本原则：</w:t>
      </w:r>
    </w:p>
    <w:p w14:paraId="253ED214">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（1）科学公正。绩效评价应当运用科学合理的方法，按照规范的程序，对项目绩效进行客观、公正的反映。</w:t>
      </w:r>
    </w:p>
    <w:p w14:paraId="1AF93412">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（2）统筹兼顾。单位自评、部门评价和财政评价应职责明确，各有侧重，相互衔接。单位自评应由项目单位自主实施，即“谁支出、谁自评”。部门评价和财政评价应在单位自评的基础上开展。</w:t>
      </w:r>
    </w:p>
    <w:p w14:paraId="275B6A56">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（3）激励约束。绩效评价结果应与预算安排、政策调整、改进管理实质性挂钩，体现奖优罚劣和激励相容导向，有效要安排、低效要压减、无效要问责。</w:t>
      </w:r>
    </w:p>
    <w:p w14:paraId="59A5A2E4">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（4）公开透明。绩效评价结果应依法依规公开，并自觉接受社会监督。</w:t>
      </w:r>
    </w:p>
    <w:p w14:paraId="6B917C2F">
      <w:pPr>
        <w:pStyle w:val="5"/>
        <w:numPr>
          <w:ilvl w:val="0"/>
          <w:numId w:val="14"/>
        </w:numPr>
        <w:bidi w:val="0"/>
        <w:ind w:left="420" w:leftChars="0" w:firstLine="218" w:firstLineChars="68"/>
        <w:rPr>
          <w:rFonts w:hint="eastAsia"/>
          <w:highlight w:val="none"/>
          <w:lang w:val="en-US" w:eastAsia="zh-CN"/>
        </w:rPr>
      </w:pPr>
      <w:bookmarkStart w:id="146" w:name="_Toc599"/>
      <w:bookmarkStart w:id="147" w:name="_Toc22974"/>
      <w:bookmarkStart w:id="148" w:name="_Toc3117"/>
      <w:r>
        <w:rPr>
          <w:rFonts w:hint="eastAsia"/>
          <w:highlight w:val="none"/>
          <w:lang w:val="en-US" w:eastAsia="zh-CN"/>
        </w:rPr>
        <w:t>绩效评价依据</w:t>
      </w:r>
      <w:bookmarkEnd w:id="146"/>
      <w:bookmarkEnd w:id="147"/>
      <w:bookmarkEnd w:id="148"/>
    </w:p>
    <w:p w14:paraId="31966A94">
      <w:pPr>
        <w:numPr>
          <w:ilvl w:val="0"/>
          <w:numId w:val="18"/>
        </w:num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《中华人民共和国预算法》</w:t>
      </w:r>
    </w:p>
    <w:p w14:paraId="665E2679">
      <w:pPr>
        <w:numPr>
          <w:ilvl w:val="0"/>
          <w:numId w:val="18"/>
        </w:num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财政部关于印发《财政支出绩效评价管理暂行办法》的通知（财预〔2011〕285 号 ）</w:t>
      </w:r>
    </w:p>
    <w:p w14:paraId="031A41CA">
      <w:pPr>
        <w:numPr>
          <w:ilvl w:val="0"/>
          <w:numId w:val="18"/>
        </w:num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《中共中央国务院关于全面实施预算绩效管理的意见》（中发〔2018〕34 号 ）</w:t>
      </w:r>
    </w:p>
    <w:p w14:paraId="56345E31">
      <w:pPr>
        <w:numPr>
          <w:ilvl w:val="0"/>
          <w:numId w:val="18"/>
        </w:num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财政支出绩效评价管理暂行办法》（财预〔2020〕10 号 ）</w:t>
      </w:r>
    </w:p>
    <w:p w14:paraId="6835B323">
      <w:pPr>
        <w:numPr>
          <w:ilvl w:val="0"/>
          <w:numId w:val="18"/>
        </w:num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《关于印发〈第三方机构绩效评价业务监督管理暂行办法〉的通知》（财监〔2021〕4 号 ）</w:t>
      </w:r>
    </w:p>
    <w:p w14:paraId="0183729B">
      <w:pPr>
        <w:pStyle w:val="5"/>
        <w:numPr>
          <w:ilvl w:val="0"/>
          <w:numId w:val="14"/>
        </w:numPr>
        <w:bidi w:val="0"/>
        <w:rPr>
          <w:rFonts w:hint="eastAsia"/>
          <w:highlight w:val="none"/>
          <w:lang w:val="en-US" w:eastAsia="zh-CN"/>
        </w:rPr>
      </w:pPr>
      <w:bookmarkStart w:id="149" w:name="_Toc14330"/>
      <w:bookmarkStart w:id="150" w:name="_Toc18943"/>
      <w:bookmarkStart w:id="151" w:name="_Toc21058"/>
      <w:r>
        <w:rPr>
          <w:rFonts w:hint="eastAsia"/>
          <w:highlight w:val="none"/>
          <w:lang w:val="en-US" w:eastAsia="zh-CN"/>
        </w:rPr>
        <w:t>绩效评价指标体系及标准</w:t>
      </w:r>
      <w:bookmarkEnd w:id="149"/>
      <w:bookmarkEnd w:id="150"/>
      <w:bookmarkEnd w:id="151"/>
    </w:p>
    <w:p w14:paraId="595167C0">
      <w:pPr>
        <w:pStyle w:val="6"/>
        <w:numPr>
          <w:ilvl w:val="0"/>
          <w:numId w:val="19"/>
        </w:numPr>
        <w:bidi w:val="0"/>
        <w:ind w:left="0" w:leftChars="0" w:firstLine="640" w:firstLineChars="200"/>
        <w:rPr>
          <w:rFonts w:hint="eastAsia"/>
          <w:highlight w:val="none"/>
          <w:lang w:val="en-US" w:eastAsia="zh-CN"/>
        </w:rPr>
      </w:pPr>
      <w:r>
        <w:rPr>
          <w:rFonts w:hint="eastAsia"/>
          <w:highlight w:val="none"/>
          <w:lang w:val="en-US" w:eastAsia="zh-CN"/>
        </w:rPr>
        <w:t>绩效评价指标体系</w:t>
      </w:r>
    </w:p>
    <w:p w14:paraId="48C25DCB">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绩效评价框架是开展绩效评价的核心。绩效评价框架包括评价准则、关键评价问题、评价指标、数据来源、数据收集方法等。指标体系建立过程如下：</w:t>
      </w:r>
    </w:p>
    <w:p w14:paraId="2FF7773C">
      <w:pPr>
        <w:ind w:firstLine="640" w:firstLineChars="200"/>
        <w:outlineLvl w:val="9"/>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（1）确定评价指标</w:t>
      </w:r>
    </w:p>
    <w:p w14:paraId="10B36568">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采用层次分析法，建立评价指标体系。绩效评价将指标分为项目决策指标、项目过程指标、项目产出指标、项目效益指标四个维度，最终形成一个由多个相互联系的指标组成的多层次指标体系。</w:t>
      </w:r>
    </w:p>
    <w:p w14:paraId="402FA55A">
      <w:pPr>
        <w:ind w:firstLine="640" w:firstLineChars="200"/>
        <w:outlineLvl w:val="9"/>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（2）确定权重</w:t>
      </w:r>
    </w:p>
    <w:p w14:paraId="248D0A50">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确定各个指标相对于项目总体绩效的权重分值。在绩效评价指标体系中，项目决策权重为20分，项目过程权重为20分，项目产出权重为40分，项目效益权重为20分。</w:t>
      </w:r>
    </w:p>
    <w:p w14:paraId="0EDA5122">
      <w:pPr>
        <w:ind w:firstLine="640" w:firstLineChars="200"/>
        <w:outlineLvl w:val="9"/>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（3）确定指标标准值</w:t>
      </w:r>
    </w:p>
    <w:p w14:paraId="24C079B0">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指标标准值是绩效评价指标的尺度，既要反映同类项目的先进水平，又要符合项目的实际绩效水平。具体采用计划标准等确定此次绩效评价指标标准值。</w:t>
      </w:r>
    </w:p>
    <w:p w14:paraId="1D180B73">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绩效评价总分值100分，根据综合评分结果，90（含）-100分为优、80（含）-90分为良、60（含）-80分为中、60分以下为差。</w:t>
      </w:r>
    </w:p>
    <w:p w14:paraId="3AE913A4">
      <w:pPr>
        <w:pStyle w:val="6"/>
        <w:numPr>
          <w:ilvl w:val="0"/>
          <w:numId w:val="19"/>
        </w:numPr>
        <w:bidi w:val="0"/>
        <w:ind w:left="0" w:leftChars="0" w:firstLine="640" w:firstLineChars="0"/>
        <w:rPr>
          <w:rFonts w:hint="eastAsia"/>
          <w:highlight w:val="none"/>
          <w:lang w:val="en-US" w:eastAsia="zh-CN"/>
        </w:rPr>
      </w:pPr>
      <w:r>
        <w:rPr>
          <w:rFonts w:hint="eastAsia"/>
          <w:highlight w:val="none"/>
          <w:lang w:val="en-US" w:eastAsia="zh-CN"/>
        </w:rPr>
        <w:t>绩效评价标准</w:t>
      </w:r>
    </w:p>
    <w:p w14:paraId="7C2E3058">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绩效评价标准通常包括计划标准、行业标准、历史标准等，用于对绩效指标完成情况进行比较、分析、评价。</w:t>
      </w:r>
    </w:p>
    <w:p w14:paraId="684D9863">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（1）计划标准。指以预先制定的目标、计划、预算、定额等作为评价标准。</w:t>
      </w:r>
    </w:p>
    <w:p w14:paraId="34046F51">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（2）行业标准。指参照国家公布的行业指标数据制定的评价标准。</w:t>
      </w:r>
    </w:p>
    <w:p w14:paraId="6D674812">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（3）历史标准。指参照历史数据制定的评价标准，为体现绩效改进的原则，在可实现的条件下应当确定相对较高的评价标准。</w:t>
      </w:r>
    </w:p>
    <w:p w14:paraId="56191B49">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（4）财政部门和预算部门确认或认可的其他标准。</w:t>
      </w:r>
    </w:p>
    <w:p w14:paraId="394679CA">
      <w:pPr>
        <w:pStyle w:val="5"/>
        <w:numPr>
          <w:ilvl w:val="0"/>
          <w:numId w:val="14"/>
        </w:numPr>
        <w:bidi w:val="0"/>
        <w:ind w:left="420" w:leftChars="0" w:firstLine="218" w:firstLineChars="68"/>
        <w:rPr>
          <w:rFonts w:hint="eastAsia"/>
          <w:highlight w:val="none"/>
          <w:lang w:val="en-US" w:eastAsia="zh-CN"/>
        </w:rPr>
      </w:pPr>
      <w:bookmarkStart w:id="152" w:name="_Toc17410"/>
      <w:bookmarkStart w:id="153" w:name="_Toc13707"/>
      <w:bookmarkStart w:id="154" w:name="_Toc8026"/>
      <w:r>
        <w:rPr>
          <w:rFonts w:hint="eastAsia"/>
          <w:highlight w:val="none"/>
          <w:lang w:val="en-US" w:eastAsia="zh-CN"/>
        </w:rPr>
        <w:t>绩效评价方法</w:t>
      </w:r>
      <w:bookmarkEnd w:id="152"/>
      <w:bookmarkEnd w:id="153"/>
      <w:bookmarkEnd w:id="154"/>
    </w:p>
    <w:p w14:paraId="455DD25F">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绩效评价从项目决策、项目过程、项目产出、项目效益四个维度进行评价。评价对象为项目目标实施情况，  评价核心为资金的支出完成情况和项目的产出效益。</w:t>
      </w:r>
    </w:p>
    <w:p w14:paraId="7B770D94">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本次评价指标中，既有定性指标又有定量指标，各类指标因考核内容不同和客观标准不同存在较大差异，因此核定具体指标时采用了不同方法，具体评价方法如下：</w:t>
      </w:r>
    </w:p>
    <w:p w14:paraId="11D7178C">
      <w:pPr>
        <w:numPr>
          <w:ilvl w:val="0"/>
          <w:numId w:val="20"/>
        </w:num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成本效益分析法。是指将投入与产出、效益进行关联性分析的方法。</w:t>
      </w:r>
    </w:p>
    <w:p w14:paraId="53E78FFE">
      <w:pPr>
        <w:numPr>
          <w:ilvl w:val="0"/>
          <w:numId w:val="20"/>
        </w:num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比较法。是指将实施情况与绩效目标、历史情况、不同部门和地区同类支出情况进行比较的方法。</w:t>
      </w:r>
    </w:p>
    <w:p w14:paraId="4010EC88">
      <w:pPr>
        <w:numPr>
          <w:ilvl w:val="0"/>
          <w:numId w:val="20"/>
        </w:num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因素分析法。是指综合分析影响绩效目标实现、实施效果的内外部因素的方法。</w:t>
      </w:r>
    </w:p>
    <w:p w14:paraId="4D8E5E2E">
      <w:pPr>
        <w:numPr>
          <w:ilvl w:val="0"/>
          <w:numId w:val="20"/>
        </w:num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最低成本法。是指在绩效目标确定的前提下，成本最小者为优的方法。</w:t>
      </w:r>
    </w:p>
    <w:p w14:paraId="60CBD960">
      <w:pPr>
        <w:numPr>
          <w:ilvl w:val="0"/>
          <w:numId w:val="20"/>
        </w:num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公众评判法。是指通过专家评估、公众问卷及抽样调查等方式进行评判的方法。</w:t>
      </w:r>
    </w:p>
    <w:p w14:paraId="4979973B">
      <w:pPr>
        <w:numPr>
          <w:ilvl w:val="0"/>
          <w:numId w:val="20"/>
        </w:num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标杆管理法。是指以国内外同行业中较高的绩效水平为标杆进行评判的方法。</w:t>
      </w:r>
    </w:p>
    <w:p w14:paraId="5B8A76F6">
      <w:pPr>
        <w:numPr>
          <w:ilvl w:val="0"/>
          <w:numId w:val="20"/>
        </w:num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其他评价方法。</w:t>
      </w:r>
    </w:p>
    <w:p w14:paraId="7B11204D">
      <w:pPr>
        <w:pStyle w:val="5"/>
        <w:numPr>
          <w:ilvl w:val="0"/>
          <w:numId w:val="14"/>
        </w:numPr>
        <w:bidi w:val="0"/>
        <w:ind w:left="420" w:leftChars="0" w:firstLine="218" w:firstLineChars="68"/>
        <w:rPr>
          <w:rFonts w:hint="eastAsia"/>
          <w:highlight w:val="none"/>
          <w:lang w:val="en-US" w:eastAsia="zh-CN"/>
        </w:rPr>
      </w:pPr>
      <w:bookmarkStart w:id="155" w:name="_Toc24674"/>
      <w:bookmarkStart w:id="156" w:name="_Toc23494"/>
      <w:bookmarkStart w:id="157" w:name="_Toc13701"/>
      <w:r>
        <w:rPr>
          <w:rFonts w:hint="eastAsia"/>
          <w:highlight w:val="none"/>
          <w:lang w:val="en-US" w:eastAsia="zh-CN"/>
        </w:rPr>
        <w:t>绩效评价工作过程</w:t>
      </w:r>
      <w:bookmarkEnd w:id="155"/>
      <w:bookmarkEnd w:id="156"/>
      <w:bookmarkEnd w:id="157"/>
    </w:p>
    <w:p w14:paraId="718D3C93">
      <w:pPr>
        <w:pStyle w:val="6"/>
        <w:numPr>
          <w:ilvl w:val="0"/>
          <w:numId w:val="21"/>
        </w:numPr>
        <w:bidi w:val="0"/>
        <w:ind w:left="0" w:leftChars="0" w:firstLine="640" w:firstLineChars="200"/>
        <w:rPr>
          <w:rFonts w:hint="eastAsia"/>
          <w:highlight w:val="none"/>
          <w:lang w:val="en-US" w:eastAsia="zh-CN"/>
        </w:rPr>
      </w:pPr>
      <w:r>
        <w:rPr>
          <w:rFonts w:hint="eastAsia"/>
          <w:highlight w:val="none"/>
          <w:lang w:val="en-US" w:eastAsia="zh-CN"/>
        </w:rPr>
        <w:t>前期准备</w:t>
      </w:r>
    </w:p>
    <w:p w14:paraId="3CE62E36">
      <w:pPr>
        <w:ind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在项目绩效评价工作启动之初，成立了专门的评价工作小组，小组成员由财务专家、项目管理专业人员及相关领域技术骨干组成，确保从多角度、全方位对项目绩效进行评价。同时，明确了评价工作的目标、范围、重点及时间安排，制定了详细的工作计划，为评价工作的顺利开展奠定了坚实基础</w:t>
      </w:r>
      <w:r>
        <w:rPr>
          <w:rFonts w:hint="eastAsia" w:cs="仿宋_GB2312"/>
          <w:highlight w:val="none"/>
          <w:lang w:val="en-US" w:eastAsia="zh-CN"/>
        </w:rPr>
        <w:t>，</w:t>
      </w:r>
      <w:r>
        <w:rPr>
          <w:rFonts w:hint="eastAsia"/>
          <w:highlight w:val="none"/>
          <w:lang w:val="en-US" w:eastAsia="zh-CN"/>
        </w:rPr>
        <w:t>具体人员名单如下：</w:t>
      </w:r>
    </w:p>
    <w:tbl>
      <w:tblPr>
        <w:tblStyle w:val="18"/>
        <w:tblW w:w="87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9"/>
        <w:gridCol w:w="1099"/>
        <w:gridCol w:w="1424"/>
        <w:gridCol w:w="1611"/>
        <w:gridCol w:w="3925"/>
      </w:tblGrid>
      <w:tr w14:paraId="06B246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699" w:type="dxa"/>
            <w:shd w:val="clear" w:color="auto" w:fill="D7D7D7"/>
            <w:vAlign w:val="top"/>
          </w:tcPr>
          <w:p w14:paraId="60815C95">
            <w:pPr>
              <w:keepNext w:val="0"/>
              <w:keepLines w:val="0"/>
              <w:pageBreakBefore w:val="0"/>
              <w:kinsoku/>
              <w:wordWrap/>
              <w:overflowPunct/>
              <w:autoSpaceDE/>
              <w:autoSpaceDN/>
              <w:bidi w:val="0"/>
              <w:adjustRightInd w:val="0"/>
              <w:snapToGrid w:val="0"/>
              <w:spacing w:before="183" w:line="225" w:lineRule="auto"/>
              <w:ind w:left="0" w:firstLine="0" w:firstLineChars="0"/>
              <w:jc w:val="center"/>
              <w:textAlignment w:val="baseline"/>
              <w:rPr>
                <w:rFonts w:hint="eastAsia" w:ascii="仿宋_GB2312" w:hAnsi="仿宋_GB2312" w:eastAsia="仿宋_GB2312" w:cs="仿宋_GB2312"/>
                <w:b/>
                <w:bCs/>
                <w:snapToGrid w:val="0"/>
                <w:color w:val="000000"/>
                <w:kern w:val="0"/>
                <w:sz w:val="19"/>
                <w:szCs w:val="19"/>
                <w:highlight w:val="none"/>
                <w:lang w:val="en-US" w:eastAsia="en-US" w:bidi="ar-SA"/>
              </w:rPr>
            </w:pPr>
            <w:r>
              <w:rPr>
                <w:rFonts w:hint="eastAsia" w:ascii="仿宋_GB2312" w:hAnsi="仿宋_GB2312" w:eastAsia="仿宋_GB2312" w:cs="仿宋_GB2312"/>
                <w:b/>
                <w:bCs/>
                <w:snapToGrid w:val="0"/>
                <w:color w:val="000000"/>
                <w:spacing w:val="5"/>
                <w:kern w:val="0"/>
                <w:sz w:val="19"/>
                <w:szCs w:val="19"/>
                <w:highlight w:val="none"/>
                <w:lang w:val="en-US" w:eastAsia="en-US" w:bidi="ar-SA"/>
              </w:rPr>
              <w:t>序号</w:t>
            </w:r>
          </w:p>
        </w:tc>
        <w:tc>
          <w:tcPr>
            <w:tcW w:w="1099" w:type="dxa"/>
            <w:shd w:val="clear" w:color="auto" w:fill="D7D7D7"/>
            <w:vAlign w:val="top"/>
          </w:tcPr>
          <w:p w14:paraId="60B4A923">
            <w:pPr>
              <w:keepNext w:val="0"/>
              <w:keepLines w:val="0"/>
              <w:pageBreakBefore w:val="0"/>
              <w:kinsoku/>
              <w:wordWrap/>
              <w:overflowPunct/>
              <w:autoSpaceDE/>
              <w:autoSpaceDN/>
              <w:bidi w:val="0"/>
              <w:adjustRightInd w:val="0"/>
              <w:snapToGrid w:val="0"/>
              <w:spacing w:before="183" w:line="228" w:lineRule="auto"/>
              <w:ind w:left="0" w:firstLine="0" w:firstLineChars="0"/>
              <w:jc w:val="center"/>
              <w:textAlignment w:val="baseline"/>
              <w:rPr>
                <w:rFonts w:hint="eastAsia" w:ascii="仿宋_GB2312" w:hAnsi="仿宋_GB2312" w:eastAsia="仿宋_GB2312" w:cs="仿宋_GB2312"/>
                <w:b/>
                <w:bCs/>
                <w:snapToGrid w:val="0"/>
                <w:color w:val="000000"/>
                <w:kern w:val="0"/>
                <w:sz w:val="19"/>
                <w:szCs w:val="19"/>
                <w:highlight w:val="none"/>
                <w:lang w:val="en-US" w:eastAsia="en-US" w:bidi="ar-SA"/>
              </w:rPr>
            </w:pPr>
            <w:r>
              <w:rPr>
                <w:rFonts w:hint="eastAsia" w:ascii="仿宋_GB2312" w:hAnsi="仿宋_GB2312" w:eastAsia="仿宋_GB2312" w:cs="仿宋_GB2312"/>
                <w:b/>
                <w:bCs/>
                <w:snapToGrid w:val="0"/>
                <w:color w:val="000000"/>
                <w:spacing w:val="2"/>
                <w:kern w:val="0"/>
                <w:sz w:val="19"/>
                <w:szCs w:val="19"/>
                <w:highlight w:val="none"/>
                <w:lang w:val="en-US" w:eastAsia="en-US" w:bidi="ar-SA"/>
              </w:rPr>
              <w:t>姓</w:t>
            </w:r>
            <w:r>
              <w:rPr>
                <w:rFonts w:hint="eastAsia" w:ascii="仿宋_GB2312" w:hAnsi="仿宋_GB2312" w:eastAsia="仿宋_GB2312" w:cs="仿宋_GB2312"/>
                <w:b/>
                <w:bCs/>
                <w:snapToGrid w:val="0"/>
                <w:color w:val="000000"/>
                <w:spacing w:val="7"/>
                <w:kern w:val="0"/>
                <w:sz w:val="19"/>
                <w:szCs w:val="19"/>
                <w:highlight w:val="none"/>
                <w:lang w:val="en-US" w:eastAsia="en-US" w:bidi="ar-SA"/>
              </w:rPr>
              <w:t xml:space="preserve">  </w:t>
            </w:r>
            <w:r>
              <w:rPr>
                <w:rFonts w:hint="eastAsia" w:ascii="仿宋_GB2312" w:hAnsi="仿宋_GB2312" w:eastAsia="仿宋_GB2312" w:cs="仿宋_GB2312"/>
                <w:b/>
                <w:bCs/>
                <w:snapToGrid w:val="0"/>
                <w:color w:val="000000"/>
                <w:spacing w:val="2"/>
                <w:kern w:val="0"/>
                <w:sz w:val="19"/>
                <w:szCs w:val="19"/>
                <w:highlight w:val="none"/>
                <w:lang w:val="en-US" w:eastAsia="en-US" w:bidi="ar-SA"/>
              </w:rPr>
              <w:t>名</w:t>
            </w:r>
          </w:p>
        </w:tc>
        <w:tc>
          <w:tcPr>
            <w:tcW w:w="1424" w:type="dxa"/>
            <w:shd w:val="clear" w:color="auto" w:fill="D7D7D7"/>
            <w:vAlign w:val="top"/>
          </w:tcPr>
          <w:p w14:paraId="3988DE46">
            <w:pPr>
              <w:keepNext w:val="0"/>
              <w:keepLines w:val="0"/>
              <w:pageBreakBefore w:val="0"/>
              <w:kinsoku/>
              <w:wordWrap/>
              <w:overflowPunct/>
              <w:autoSpaceDE/>
              <w:autoSpaceDN/>
              <w:bidi w:val="0"/>
              <w:adjustRightInd w:val="0"/>
              <w:snapToGrid w:val="0"/>
              <w:spacing w:before="183" w:line="228" w:lineRule="auto"/>
              <w:ind w:left="0" w:firstLine="0" w:firstLineChars="0"/>
              <w:jc w:val="center"/>
              <w:textAlignment w:val="baseline"/>
              <w:rPr>
                <w:rFonts w:hint="eastAsia" w:ascii="仿宋_GB2312" w:hAnsi="仿宋_GB2312" w:eastAsia="仿宋_GB2312" w:cs="仿宋_GB2312"/>
                <w:b/>
                <w:bCs/>
                <w:snapToGrid w:val="0"/>
                <w:color w:val="000000"/>
                <w:kern w:val="0"/>
                <w:sz w:val="19"/>
                <w:szCs w:val="19"/>
                <w:highlight w:val="none"/>
                <w:lang w:val="en-US" w:eastAsia="en-US" w:bidi="ar-SA"/>
              </w:rPr>
            </w:pPr>
            <w:r>
              <w:rPr>
                <w:rFonts w:hint="eastAsia" w:ascii="仿宋_GB2312" w:hAnsi="仿宋_GB2312" w:eastAsia="仿宋_GB2312" w:cs="仿宋_GB2312"/>
                <w:b/>
                <w:bCs/>
                <w:snapToGrid w:val="0"/>
                <w:color w:val="000000"/>
                <w:spacing w:val="2"/>
                <w:kern w:val="0"/>
                <w:sz w:val="19"/>
                <w:szCs w:val="19"/>
                <w:highlight w:val="none"/>
                <w:lang w:val="en-US" w:eastAsia="en-US" w:bidi="ar-SA"/>
              </w:rPr>
              <w:t>项目中</w:t>
            </w:r>
            <w:r>
              <w:rPr>
                <w:rFonts w:hint="eastAsia" w:ascii="仿宋_GB2312" w:hAnsi="仿宋_GB2312" w:eastAsia="仿宋_GB2312" w:cs="仿宋_GB2312"/>
                <w:b/>
                <w:bCs/>
                <w:snapToGrid w:val="0"/>
                <w:color w:val="000000"/>
                <w:spacing w:val="2"/>
                <w:kern w:val="0"/>
                <w:sz w:val="19"/>
                <w:szCs w:val="19"/>
                <w:highlight w:val="none"/>
                <w:lang w:val="en-US" w:eastAsia="zh-CN" w:bidi="ar-SA"/>
              </w:rPr>
              <w:t>定</w:t>
            </w:r>
            <w:r>
              <w:rPr>
                <w:rFonts w:hint="eastAsia" w:ascii="仿宋_GB2312" w:hAnsi="仿宋_GB2312" w:eastAsia="仿宋_GB2312" w:cs="仿宋_GB2312"/>
                <w:b/>
                <w:bCs/>
                <w:snapToGrid w:val="0"/>
                <w:color w:val="000000"/>
                <w:spacing w:val="2"/>
                <w:kern w:val="0"/>
                <w:sz w:val="19"/>
                <w:szCs w:val="19"/>
                <w:highlight w:val="none"/>
                <w:lang w:val="en-US" w:eastAsia="en-US" w:bidi="ar-SA"/>
              </w:rPr>
              <w:t>位</w:t>
            </w:r>
          </w:p>
        </w:tc>
        <w:tc>
          <w:tcPr>
            <w:tcW w:w="1611" w:type="dxa"/>
            <w:shd w:val="clear" w:color="auto" w:fill="D7D7D7"/>
            <w:vAlign w:val="top"/>
          </w:tcPr>
          <w:p w14:paraId="5C14C97F">
            <w:pPr>
              <w:keepNext w:val="0"/>
              <w:keepLines w:val="0"/>
              <w:pageBreakBefore w:val="0"/>
              <w:kinsoku/>
              <w:wordWrap/>
              <w:overflowPunct/>
              <w:autoSpaceDE/>
              <w:autoSpaceDN/>
              <w:bidi w:val="0"/>
              <w:adjustRightInd w:val="0"/>
              <w:snapToGrid w:val="0"/>
              <w:spacing w:before="49" w:line="237" w:lineRule="auto"/>
              <w:ind w:left="0" w:right="173" w:firstLine="0" w:firstLineChars="0"/>
              <w:jc w:val="center"/>
              <w:textAlignment w:val="baseline"/>
              <w:rPr>
                <w:rFonts w:hint="eastAsia" w:ascii="仿宋_GB2312" w:hAnsi="仿宋_GB2312" w:eastAsia="仿宋_GB2312" w:cs="仿宋_GB2312"/>
                <w:b/>
                <w:bCs/>
                <w:snapToGrid w:val="0"/>
                <w:color w:val="000000"/>
                <w:kern w:val="0"/>
                <w:sz w:val="19"/>
                <w:szCs w:val="19"/>
                <w:highlight w:val="none"/>
                <w:lang w:val="en-US" w:eastAsia="en-US" w:bidi="ar-SA"/>
              </w:rPr>
            </w:pPr>
            <w:r>
              <w:rPr>
                <w:rFonts w:hint="eastAsia" w:ascii="仿宋_GB2312" w:hAnsi="仿宋_GB2312" w:eastAsia="仿宋_GB2312" w:cs="仿宋_GB2312"/>
                <w:b/>
                <w:bCs/>
                <w:snapToGrid w:val="0"/>
                <w:color w:val="000000"/>
                <w:spacing w:val="6"/>
                <w:kern w:val="0"/>
                <w:sz w:val="19"/>
                <w:szCs w:val="19"/>
                <w:highlight w:val="none"/>
                <w:lang w:val="en-US" w:eastAsia="en-US" w:bidi="ar-SA"/>
              </w:rPr>
              <w:t>主要执业资格</w:t>
            </w:r>
            <w:r>
              <w:rPr>
                <w:rFonts w:hint="eastAsia" w:ascii="仿宋_GB2312" w:hAnsi="仿宋_GB2312" w:eastAsia="仿宋_GB2312" w:cs="仿宋_GB2312"/>
                <w:b/>
                <w:bCs/>
                <w:snapToGrid w:val="0"/>
                <w:color w:val="000000"/>
                <w:spacing w:val="5"/>
                <w:kern w:val="0"/>
                <w:sz w:val="19"/>
                <w:szCs w:val="19"/>
                <w:highlight w:val="none"/>
                <w:lang w:val="en-US" w:eastAsia="en-US" w:bidi="ar-SA"/>
              </w:rPr>
              <w:t>和职称</w:t>
            </w:r>
          </w:p>
        </w:tc>
        <w:tc>
          <w:tcPr>
            <w:tcW w:w="3925" w:type="dxa"/>
            <w:shd w:val="clear" w:color="auto" w:fill="D7D7D7"/>
            <w:vAlign w:val="top"/>
          </w:tcPr>
          <w:p w14:paraId="6465892E">
            <w:pPr>
              <w:keepNext w:val="0"/>
              <w:keepLines w:val="0"/>
              <w:pageBreakBefore w:val="0"/>
              <w:kinsoku/>
              <w:wordWrap/>
              <w:overflowPunct/>
              <w:autoSpaceDE/>
              <w:autoSpaceDN/>
              <w:bidi w:val="0"/>
              <w:adjustRightInd w:val="0"/>
              <w:snapToGrid w:val="0"/>
              <w:spacing w:before="183" w:line="225" w:lineRule="auto"/>
              <w:ind w:left="0" w:firstLine="0" w:firstLineChars="0"/>
              <w:jc w:val="center"/>
              <w:textAlignment w:val="baseline"/>
              <w:rPr>
                <w:rFonts w:hint="eastAsia" w:ascii="仿宋_GB2312" w:hAnsi="仿宋_GB2312" w:eastAsia="仿宋_GB2312" w:cs="仿宋_GB2312"/>
                <w:b/>
                <w:bCs/>
                <w:snapToGrid w:val="0"/>
                <w:color w:val="000000"/>
                <w:kern w:val="0"/>
                <w:sz w:val="19"/>
                <w:szCs w:val="19"/>
                <w:highlight w:val="none"/>
                <w:lang w:val="en-US" w:eastAsia="en-US" w:bidi="ar-SA"/>
              </w:rPr>
            </w:pPr>
            <w:r>
              <w:rPr>
                <w:rFonts w:hint="eastAsia" w:ascii="仿宋_GB2312" w:hAnsi="仿宋_GB2312" w:eastAsia="仿宋_GB2312" w:cs="仿宋_GB2312"/>
                <w:b/>
                <w:bCs/>
                <w:snapToGrid w:val="0"/>
                <w:color w:val="000000"/>
                <w:spacing w:val="5"/>
                <w:kern w:val="0"/>
                <w:sz w:val="19"/>
                <w:szCs w:val="19"/>
                <w:highlight w:val="none"/>
                <w:lang w:val="en-US" w:eastAsia="en-US" w:bidi="ar-SA"/>
              </w:rPr>
              <w:t>具体分工</w:t>
            </w:r>
          </w:p>
        </w:tc>
      </w:tr>
      <w:tr w14:paraId="54B108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699" w:type="dxa"/>
            <w:vAlign w:val="center"/>
          </w:tcPr>
          <w:p w14:paraId="4324DB6A">
            <w:pPr>
              <w:pageBreakBefore w:val="0"/>
              <w:kinsoku/>
              <w:wordWrap/>
              <w:overflowPunct/>
              <w:topLinePunct w:val="0"/>
              <w:autoSpaceDE/>
              <w:autoSpaceDN/>
              <w:bidi w:val="0"/>
              <w:adjustRightInd w:val="0"/>
              <w:snapToGrid/>
              <w:spacing w:line="560" w:lineRule="exact"/>
              <w:ind w:left="0" w:leftChars="0" w:firstLine="0" w:firstLineChars="0"/>
              <w:jc w:val="center"/>
              <w:textAlignment w:val="baseline"/>
              <w:outlineLvl w:val="9"/>
              <w:rPr>
                <w:rFonts w:hint="eastAsia" w:ascii="仿宋_GB2312" w:hAnsi="仿宋_GB2312" w:eastAsia="仿宋_GB2312" w:cs="仿宋_GB2312"/>
                <w:snapToGrid w:val="0"/>
                <w:color w:val="000000"/>
                <w:spacing w:val="11"/>
                <w:kern w:val="0"/>
                <w:sz w:val="19"/>
                <w:szCs w:val="19"/>
                <w:highlight w:val="none"/>
                <w:lang w:val="en-US" w:eastAsia="en-US" w:bidi="ar-SA"/>
              </w:rPr>
            </w:pPr>
            <w:r>
              <w:rPr>
                <w:rFonts w:hint="default" w:ascii="Times New Roman" w:hAnsi="Times New Roman" w:eastAsia="仿宋_GB2312" w:cs="Times New Roman"/>
                <w:snapToGrid w:val="0"/>
                <w:color w:val="000000"/>
                <w:spacing w:val="11"/>
                <w:kern w:val="0"/>
                <w:sz w:val="22"/>
                <w:szCs w:val="22"/>
                <w:highlight w:val="none"/>
                <w:lang w:val="en-US" w:eastAsia="zh-CN" w:bidi="ar-SA"/>
              </w:rPr>
              <w:t>1</w:t>
            </w:r>
          </w:p>
        </w:tc>
        <w:tc>
          <w:tcPr>
            <w:tcW w:w="1099" w:type="dxa"/>
            <w:vAlign w:val="center"/>
          </w:tcPr>
          <w:p w14:paraId="7D7ACBD3">
            <w:pPr>
              <w:pageBreakBefore w:val="0"/>
              <w:kinsoku/>
              <w:wordWrap/>
              <w:overflowPunct/>
              <w:topLinePunct w:val="0"/>
              <w:autoSpaceDE/>
              <w:autoSpaceDN/>
              <w:bidi w:val="0"/>
              <w:adjustRightInd w:val="0"/>
              <w:snapToGrid/>
              <w:spacing w:line="560" w:lineRule="exact"/>
              <w:ind w:left="0" w:leftChars="0" w:firstLine="0" w:firstLineChars="0"/>
              <w:jc w:val="center"/>
              <w:textAlignment w:val="baseline"/>
              <w:outlineLvl w:val="9"/>
              <w:rPr>
                <w:rFonts w:hint="eastAsia" w:ascii="仿宋_GB2312" w:hAnsi="仿宋_GB2312" w:eastAsia="仿宋_GB2312" w:cs="仿宋_GB2312"/>
                <w:snapToGrid w:val="0"/>
                <w:color w:val="000000"/>
                <w:spacing w:val="11"/>
                <w:kern w:val="0"/>
                <w:sz w:val="19"/>
                <w:szCs w:val="19"/>
                <w:highlight w:val="none"/>
                <w:lang w:val="en-US" w:eastAsia="en-US" w:bidi="ar-SA"/>
              </w:rPr>
            </w:pPr>
            <w:r>
              <w:rPr>
                <w:rFonts w:hint="eastAsia" w:ascii="Times New Roman" w:hAnsi="Times New Roman" w:eastAsia="仿宋_GB2312" w:cs="微软雅黑"/>
                <w:snapToGrid w:val="0"/>
                <w:color w:val="000000"/>
                <w:spacing w:val="11"/>
                <w:kern w:val="0"/>
                <w:sz w:val="22"/>
                <w:szCs w:val="22"/>
                <w:highlight w:val="none"/>
                <w:lang w:val="en-US" w:eastAsia="zh-CN" w:bidi="ar-SA"/>
              </w:rPr>
              <w:t>王智星</w:t>
            </w:r>
          </w:p>
        </w:tc>
        <w:tc>
          <w:tcPr>
            <w:tcW w:w="1424" w:type="dxa"/>
            <w:vAlign w:val="center"/>
          </w:tcPr>
          <w:p w14:paraId="06A42C66">
            <w:pPr>
              <w:pageBreakBefore w:val="0"/>
              <w:kinsoku/>
              <w:wordWrap/>
              <w:overflowPunct/>
              <w:topLinePunct w:val="0"/>
              <w:autoSpaceDE/>
              <w:autoSpaceDN/>
              <w:bidi w:val="0"/>
              <w:adjustRightInd w:val="0"/>
              <w:snapToGrid/>
              <w:spacing w:line="560" w:lineRule="exact"/>
              <w:ind w:left="0" w:leftChars="0" w:firstLine="0" w:firstLineChars="0"/>
              <w:jc w:val="center"/>
              <w:textAlignment w:val="baseline"/>
              <w:outlineLvl w:val="9"/>
              <w:rPr>
                <w:rFonts w:hint="eastAsia" w:ascii="仿宋_GB2312" w:hAnsi="仿宋_GB2312" w:eastAsia="仿宋_GB2312" w:cs="仿宋_GB2312"/>
                <w:snapToGrid w:val="0"/>
                <w:color w:val="000000"/>
                <w:spacing w:val="11"/>
                <w:kern w:val="0"/>
                <w:sz w:val="19"/>
                <w:szCs w:val="19"/>
                <w:highlight w:val="none"/>
                <w:lang w:val="en-US" w:eastAsia="en-US" w:bidi="ar-SA"/>
              </w:rPr>
            </w:pPr>
            <w:r>
              <w:rPr>
                <w:rFonts w:hint="eastAsia" w:ascii="Times New Roman" w:hAnsi="Times New Roman" w:eastAsia="仿宋_GB2312" w:cs="Times New Roman"/>
                <w:snapToGrid w:val="0"/>
                <w:color w:val="000000"/>
                <w:spacing w:val="11"/>
                <w:kern w:val="0"/>
                <w:sz w:val="22"/>
                <w:szCs w:val="22"/>
                <w:highlight w:val="none"/>
                <w:lang w:val="en-US" w:eastAsia="zh-CN" w:bidi="ar-SA"/>
              </w:rPr>
              <w:t>项目经理</w:t>
            </w:r>
          </w:p>
        </w:tc>
        <w:tc>
          <w:tcPr>
            <w:tcW w:w="1611" w:type="dxa"/>
            <w:vAlign w:val="center"/>
          </w:tcPr>
          <w:p w14:paraId="4F77795B">
            <w:pPr>
              <w:pageBreakBefore w:val="0"/>
              <w:kinsoku/>
              <w:wordWrap/>
              <w:overflowPunct/>
              <w:topLinePunct w:val="0"/>
              <w:autoSpaceDE/>
              <w:autoSpaceDN/>
              <w:bidi w:val="0"/>
              <w:adjustRightInd w:val="0"/>
              <w:snapToGrid/>
              <w:spacing w:line="560" w:lineRule="exact"/>
              <w:ind w:left="0" w:leftChars="0" w:firstLine="0" w:firstLineChars="0"/>
              <w:jc w:val="center"/>
              <w:textAlignment w:val="baseline"/>
              <w:outlineLvl w:val="9"/>
              <w:rPr>
                <w:rFonts w:hint="eastAsia" w:ascii="仿宋_GB2312" w:hAnsi="仿宋_GB2312" w:eastAsia="仿宋_GB2312" w:cs="仿宋_GB2312"/>
                <w:snapToGrid w:val="0"/>
                <w:color w:val="000000"/>
                <w:spacing w:val="11"/>
                <w:kern w:val="0"/>
                <w:sz w:val="19"/>
                <w:szCs w:val="19"/>
                <w:highlight w:val="none"/>
                <w:lang w:val="en-US" w:eastAsia="en-US" w:bidi="ar-SA"/>
              </w:rPr>
            </w:pPr>
            <w:r>
              <w:rPr>
                <w:rFonts w:hint="eastAsia" w:ascii="Times New Roman" w:hAnsi="Times New Roman" w:eastAsia="仿宋_GB2312" w:cs="Times New Roman"/>
                <w:snapToGrid w:val="0"/>
                <w:color w:val="000000"/>
                <w:spacing w:val="11"/>
                <w:kern w:val="0"/>
                <w:sz w:val="22"/>
                <w:szCs w:val="22"/>
                <w:highlight w:val="none"/>
                <w:lang w:val="en-US" w:eastAsia="zh-CN" w:bidi="ar-SA"/>
              </w:rPr>
              <w:t>注册会计师</w:t>
            </w:r>
          </w:p>
        </w:tc>
        <w:tc>
          <w:tcPr>
            <w:tcW w:w="3925" w:type="dxa"/>
            <w:vAlign w:val="top"/>
          </w:tcPr>
          <w:p w14:paraId="7A2A0CE3">
            <w:pPr>
              <w:pageBreakBefore w:val="0"/>
              <w:kinsoku/>
              <w:wordWrap/>
              <w:overflowPunct/>
              <w:topLinePunct w:val="0"/>
              <w:autoSpaceDE/>
              <w:autoSpaceDN/>
              <w:bidi w:val="0"/>
              <w:adjustRightInd w:val="0"/>
              <w:snapToGrid/>
              <w:spacing w:line="560" w:lineRule="exact"/>
              <w:ind w:left="0" w:leftChars="0" w:firstLine="0" w:firstLineChars="0"/>
              <w:jc w:val="center"/>
              <w:textAlignment w:val="baseline"/>
              <w:outlineLvl w:val="9"/>
              <w:rPr>
                <w:rFonts w:hint="eastAsia" w:ascii="仿宋_GB2312" w:hAnsi="仿宋_GB2312" w:eastAsia="仿宋_GB2312" w:cs="仿宋_GB2312"/>
                <w:snapToGrid w:val="0"/>
                <w:color w:val="000000"/>
                <w:spacing w:val="11"/>
                <w:kern w:val="0"/>
                <w:sz w:val="19"/>
                <w:szCs w:val="19"/>
                <w:highlight w:val="none"/>
                <w:lang w:val="en-US" w:eastAsia="en-US" w:bidi="ar-SA"/>
              </w:rPr>
            </w:pPr>
            <w:r>
              <w:rPr>
                <w:rFonts w:hint="default" w:ascii="Times New Roman" w:hAnsi="Times New Roman" w:eastAsia="仿宋_GB2312" w:cs="Times New Roman"/>
                <w:snapToGrid w:val="0"/>
                <w:color w:val="000000"/>
                <w:spacing w:val="11"/>
                <w:kern w:val="0"/>
                <w:sz w:val="21"/>
                <w:szCs w:val="21"/>
                <w:highlight w:val="none"/>
                <w:lang w:val="en-US" w:eastAsia="en-US" w:bidi="ar-SA"/>
              </w:rPr>
              <w:t>起草项目工作方案；参与具体项目绩效评价指标体系的设计；参与项目实施单位的沟通，包括方案和报告初稿意见征求；参与具体项目的其他实施工作。</w:t>
            </w:r>
          </w:p>
        </w:tc>
      </w:tr>
      <w:tr w14:paraId="073F53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9" w:type="dxa"/>
            <w:vAlign w:val="center"/>
          </w:tcPr>
          <w:p w14:paraId="070D7C0B">
            <w:pPr>
              <w:pageBreakBefore w:val="0"/>
              <w:kinsoku/>
              <w:wordWrap/>
              <w:overflowPunct/>
              <w:topLinePunct w:val="0"/>
              <w:autoSpaceDE/>
              <w:autoSpaceDN/>
              <w:bidi w:val="0"/>
              <w:adjustRightInd w:val="0"/>
              <w:snapToGrid/>
              <w:spacing w:line="560" w:lineRule="exact"/>
              <w:ind w:left="0" w:leftChars="0" w:firstLine="0" w:firstLineChars="0"/>
              <w:jc w:val="center"/>
              <w:textAlignment w:val="baseline"/>
              <w:outlineLvl w:val="9"/>
              <w:rPr>
                <w:rFonts w:hint="eastAsia" w:ascii="仿宋_GB2312" w:hAnsi="仿宋_GB2312" w:eastAsia="仿宋_GB2312" w:cs="仿宋_GB2312"/>
                <w:snapToGrid w:val="0"/>
                <w:color w:val="000000"/>
                <w:spacing w:val="11"/>
                <w:kern w:val="0"/>
                <w:sz w:val="19"/>
                <w:szCs w:val="19"/>
                <w:highlight w:val="none"/>
                <w:lang w:val="en-US" w:eastAsia="en-US" w:bidi="ar-SA"/>
              </w:rPr>
            </w:pPr>
            <w:r>
              <w:rPr>
                <w:rFonts w:hint="default" w:ascii="Times New Roman" w:hAnsi="Times New Roman" w:eastAsia="仿宋_GB2312" w:cs="Times New Roman"/>
                <w:snapToGrid w:val="0"/>
                <w:color w:val="000000"/>
                <w:spacing w:val="11"/>
                <w:kern w:val="0"/>
                <w:sz w:val="22"/>
                <w:szCs w:val="22"/>
                <w:highlight w:val="none"/>
                <w:lang w:val="en-US" w:eastAsia="zh-CN" w:bidi="ar-SA"/>
              </w:rPr>
              <w:t>2</w:t>
            </w:r>
          </w:p>
        </w:tc>
        <w:tc>
          <w:tcPr>
            <w:tcW w:w="1099" w:type="dxa"/>
            <w:vAlign w:val="center"/>
          </w:tcPr>
          <w:p w14:paraId="78140563">
            <w:pPr>
              <w:pageBreakBefore w:val="0"/>
              <w:kinsoku/>
              <w:wordWrap/>
              <w:overflowPunct/>
              <w:topLinePunct w:val="0"/>
              <w:autoSpaceDE/>
              <w:autoSpaceDN/>
              <w:bidi w:val="0"/>
              <w:adjustRightInd w:val="0"/>
              <w:snapToGrid/>
              <w:spacing w:line="560" w:lineRule="exact"/>
              <w:ind w:left="0" w:leftChars="0" w:firstLine="0" w:firstLineChars="0"/>
              <w:jc w:val="center"/>
              <w:textAlignment w:val="baseline"/>
              <w:outlineLvl w:val="9"/>
              <w:rPr>
                <w:rFonts w:hint="eastAsia" w:ascii="仿宋_GB2312" w:hAnsi="仿宋_GB2312" w:eastAsia="仿宋_GB2312" w:cs="仿宋_GB2312"/>
                <w:snapToGrid w:val="0"/>
                <w:color w:val="000000"/>
                <w:spacing w:val="11"/>
                <w:kern w:val="0"/>
                <w:sz w:val="19"/>
                <w:szCs w:val="19"/>
                <w:highlight w:val="none"/>
                <w:lang w:val="en-US" w:eastAsia="en-US" w:bidi="ar-SA"/>
              </w:rPr>
            </w:pPr>
            <w:r>
              <w:rPr>
                <w:rFonts w:hint="eastAsia" w:ascii="Times New Roman" w:hAnsi="Times New Roman" w:eastAsia="仿宋_GB2312" w:cs="Times New Roman"/>
                <w:snapToGrid w:val="0"/>
                <w:color w:val="000000"/>
                <w:spacing w:val="11"/>
                <w:kern w:val="0"/>
                <w:sz w:val="22"/>
                <w:szCs w:val="22"/>
                <w:highlight w:val="none"/>
                <w:lang w:val="en-US" w:eastAsia="zh-CN" w:bidi="ar-SA"/>
              </w:rPr>
              <w:t>杨明新</w:t>
            </w:r>
          </w:p>
        </w:tc>
        <w:tc>
          <w:tcPr>
            <w:tcW w:w="1424" w:type="dxa"/>
            <w:vAlign w:val="center"/>
          </w:tcPr>
          <w:p w14:paraId="53E49045">
            <w:pPr>
              <w:pageBreakBefore w:val="0"/>
              <w:kinsoku/>
              <w:wordWrap/>
              <w:overflowPunct/>
              <w:topLinePunct w:val="0"/>
              <w:autoSpaceDE/>
              <w:autoSpaceDN/>
              <w:bidi w:val="0"/>
              <w:adjustRightInd w:val="0"/>
              <w:snapToGrid/>
              <w:spacing w:line="560" w:lineRule="exact"/>
              <w:ind w:left="0" w:leftChars="0" w:firstLine="0" w:firstLineChars="0"/>
              <w:jc w:val="center"/>
              <w:textAlignment w:val="baseline"/>
              <w:outlineLvl w:val="9"/>
              <w:rPr>
                <w:rFonts w:ascii="Times New Roman" w:hAnsi="Times New Roman" w:eastAsia="仿宋_GB2312" w:cs="微软雅黑"/>
                <w:snapToGrid w:val="0"/>
                <w:color w:val="000000"/>
                <w:spacing w:val="11"/>
                <w:kern w:val="0"/>
                <w:sz w:val="22"/>
                <w:szCs w:val="22"/>
                <w:highlight w:val="none"/>
                <w:lang w:val="en-US" w:eastAsia="en-US" w:bidi="ar-SA"/>
              </w:rPr>
            </w:pPr>
            <w:r>
              <w:rPr>
                <w:rFonts w:hint="eastAsia" w:ascii="Times New Roman" w:hAnsi="Times New Roman" w:eastAsia="仿宋_GB2312" w:cs="Times New Roman"/>
                <w:snapToGrid w:val="0"/>
                <w:color w:val="000000"/>
                <w:spacing w:val="11"/>
                <w:kern w:val="0"/>
                <w:sz w:val="22"/>
                <w:szCs w:val="22"/>
                <w:highlight w:val="none"/>
                <w:lang w:val="en-US" w:eastAsia="zh-CN" w:bidi="ar-SA"/>
              </w:rPr>
              <w:t>审计员</w:t>
            </w:r>
          </w:p>
        </w:tc>
        <w:tc>
          <w:tcPr>
            <w:tcW w:w="1611" w:type="dxa"/>
            <w:vAlign w:val="center"/>
          </w:tcPr>
          <w:p w14:paraId="08561C24">
            <w:pPr>
              <w:pageBreakBefore w:val="0"/>
              <w:kinsoku/>
              <w:wordWrap/>
              <w:overflowPunct/>
              <w:topLinePunct w:val="0"/>
              <w:autoSpaceDE/>
              <w:autoSpaceDN/>
              <w:bidi w:val="0"/>
              <w:adjustRightInd w:val="0"/>
              <w:snapToGrid/>
              <w:spacing w:line="560" w:lineRule="exact"/>
              <w:ind w:left="0" w:leftChars="0" w:firstLine="0" w:firstLineChars="0"/>
              <w:jc w:val="center"/>
              <w:textAlignment w:val="baseline"/>
              <w:outlineLvl w:val="9"/>
              <w:rPr>
                <w:rFonts w:hint="eastAsia" w:ascii="仿宋_GB2312" w:hAnsi="仿宋_GB2312" w:eastAsia="仿宋_GB2312" w:cs="仿宋_GB2312"/>
                <w:snapToGrid w:val="0"/>
                <w:color w:val="000000"/>
                <w:spacing w:val="11"/>
                <w:kern w:val="0"/>
                <w:sz w:val="19"/>
                <w:szCs w:val="19"/>
                <w:highlight w:val="none"/>
                <w:lang w:val="en-US" w:eastAsia="en-US" w:bidi="ar-SA"/>
              </w:rPr>
            </w:pPr>
            <w:r>
              <w:rPr>
                <w:rFonts w:hint="eastAsia" w:ascii="Times New Roman" w:hAnsi="Times New Roman" w:eastAsia="仿宋_GB2312" w:cs="Times New Roman"/>
                <w:snapToGrid w:val="0"/>
                <w:color w:val="000000"/>
                <w:spacing w:val="11"/>
                <w:kern w:val="0"/>
                <w:sz w:val="22"/>
                <w:szCs w:val="22"/>
                <w:highlight w:val="none"/>
                <w:lang w:val="en-US" w:eastAsia="zh-CN" w:bidi="ar-SA"/>
              </w:rPr>
              <w:t>中级会计师</w:t>
            </w:r>
          </w:p>
        </w:tc>
        <w:tc>
          <w:tcPr>
            <w:tcW w:w="3925" w:type="dxa"/>
            <w:vAlign w:val="top"/>
          </w:tcPr>
          <w:p w14:paraId="4F93C7BF">
            <w:pPr>
              <w:pageBreakBefore w:val="0"/>
              <w:kinsoku/>
              <w:wordWrap/>
              <w:overflowPunct/>
              <w:topLinePunct w:val="0"/>
              <w:autoSpaceDE/>
              <w:autoSpaceDN/>
              <w:bidi w:val="0"/>
              <w:adjustRightInd w:val="0"/>
              <w:snapToGrid/>
              <w:spacing w:line="560" w:lineRule="exact"/>
              <w:ind w:left="0" w:leftChars="0" w:firstLine="0" w:firstLineChars="0"/>
              <w:jc w:val="center"/>
              <w:textAlignment w:val="baseline"/>
              <w:outlineLvl w:val="9"/>
              <w:rPr>
                <w:rFonts w:hint="eastAsia" w:ascii="仿宋_GB2312" w:hAnsi="仿宋_GB2312" w:eastAsia="仿宋_GB2312" w:cs="仿宋_GB2312"/>
                <w:snapToGrid w:val="0"/>
                <w:color w:val="000000"/>
                <w:spacing w:val="11"/>
                <w:kern w:val="0"/>
                <w:sz w:val="19"/>
                <w:szCs w:val="19"/>
                <w:highlight w:val="none"/>
                <w:lang w:val="en-US" w:eastAsia="en-US" w:bidi="ar-SA"/>
              </w:rPr>
            </w:pPr>
            <w:r>
              <w:rPr>
                <w:rFonts w:hint="default" w:ascii="Times New Roman" w:hAnsi="Times New Roman" w:eastAsia="仿宋_GB2312" w:cs="Times New Roman"/>
                <w:snapToGrid w:val="0"/>
                <w:color w:val="000000"/>
                <w:spacing w:val="11"/>
                <w:kern w:val="0"/>
                <w:sz w:val="22"/>
                <w:szCs w:val="22"/>
                <w:highlight w:val="none"/>
                <w:lang w:val="en-US" w:eastAsia="en-US" w:bidi="ar-SA"/>
              </w:rPr>
              <w:t>参与绩效评价指标设计，项目报告的核查检验工作。</w:t>
            </w:r>
          </w:p>
        </w:tc>
      </w:tr>
      <w:tr w14:paraId="4C0DF3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9" w:type="dxa"/>
            <w:vAlign w:val="center"/>
          </w:tcPr>
          <w:p w14:paraId="1732C302">
            <w:pPr>
              <w:pageBreakBefore w:val="0"/>
              <w:kinsoku/>
              <w:wordWrap/>
              <w:overflowPunct/>
              <w:topLinePunct w:val="0"/>
              <w:autoSpaceDE/>
              <w:autoSpaceDN/>
              <w:bidi w:val="0"/>
              <w:adjustRightInd w:val="0"/>
              <w:snapToGrid/>
              <w:spacing w:line="560" w:lineRule="exact"/>
              <w:ind w:left="0" w:leftChars="0" w:firstLine="0" w:firstLineChars="0"/>
              <w:jc w:val="center"/>
              <w:textAlignment w:val="baseline"/>
              <w:outlineLvl w:val="9"/>
              <w:rPr>
                <w:rFonts w:hint="eastAsia" w:ascii="仿宋_GB2312" w:hAnsi="仿宋_GB2312" w:eastAsia="仿宋_GB2312" w:cs="仿宋_GB2312"/>
                <w:snapToGrid w:val="0"/>
                <w:color w:val="000000"/>
                <w:spacing w:val="11"/>
                <w:kern w:val="0"/>
                <w:sz w:val="19"/>
                <w:szCs w:val="19"/>
                <w:highlight w:val="none"/>
                <w:lang w:val="en-US" w:eastAsia="en-US" w:bidi="ar-SA"/>
              </w:rPr>
            </w:pPr>
            <w:r>
              <w:rPr>
                <w:rFonts w:hint="default" w:ascii="Times New Roman" w:hAnsi="Times New Roman" w:eastAsia="仿宋_GB2312" w:cs="Times New Roman"/>
                <w:snapToGrid w:val="0"/>
                <w:color w:val="000000"/>
                <w:spacing w:val="11"/>
                <w:kern w:val="0"/>
                <w:sz w:val="22"/>
                <w:szCs w:val="22"/>
                <w:highlight w:val="none"/>
                <w:lang w:val="en-US" w:eastAsia="zh-CN" w:bidi="ar-SA"/>
              </w:rPr>
              <w:t>3</w:t>
            </w:r>
          </w:p>
        </w:tc>
        <w:tc>
          <w:tcPr>
            <w:tcW w:w="1099" w:type="dxa"/>
            <w:vAlign w:val="center"/>
          </w:tcPr>
          <w:p w14:paraId="22A1EFDD">
            <w:pPr>
              <w:pageBreakBefore w:val="0"/>
              <w:kinsoku/>
              <w:wordWrap/>
              <w:overflowPunct/>
              <w:topLinePunct w:val="0"/>
              <w:autoSpaceDE/>
              <w:autoSpaceDN/>
              <w:bidi w:val="0"/>
              <w:adjustRightInd w:val="0"/>
              <w:snapToGrid/>
              <w:spacing w:line="560" w:lineRule="exact"/>
              <w:ind w:left="0" w:leftChars="0" w:firstLine="0" w:firstLineChars="0"/>
              <w:jc w:val="center"/>
              <w:textAlignment w:val="baseline"/>
              <w:outlineLvl w:val="9"/>
              <w:rPr>
                <w:rFonts w:hint="eastAsia" w:ascii="仿宋_GB2312" w:hAnsi="仿宋_GB2312" w:eastAsia="仿宋_GB2312" w:cs="仿宋_GB2312"/>
                <w:snapToGrid w:val="0"/>
                <w:color w:val="000000"/>
                <w:spacing w:val="11"/>
                <w:kern w:val="0"/>
                <w:sz w:val="19"/>
                <w:szCs w:val="19"/>
                <w:highlight w:val="none"/>
                <w:lang w:val="en-US" w:eastAsia="en-US" w:bidi="ar-SA"/>
              </w:rPr>
            </w:pPr>
            <w:r>
              <w:rPr>
                <w:rFonts w:hint="eastAsia" w:ascii="Times New Roman" w:hAnsi="Times New Roman" w:eastAsia="仿宋_GB2312" w:cs="Times New Roman"/>
                <w:snapToGrid w:val="0"/>
                <w:color w:val="000000"/>
                <w:spacing w:val="11"/>
                <w:kern w:val="0"/>
                <w:sz w:val="22"/>
                <w:szCs w:val="22"/>
                <w:highlight w:val="none"/>
                <w:lang w:val="en-US" w:eastAsia="zh-CN" w:bidi="ar-SA"/>
              </w:rPr>
              <w:t>李雨涛</w:t>
            </w:r>
          </w:p>
        </w:tc>
        <w:tc>
          <w:tcPr>
            <w:tcW w:w="1424" w:type="dxa"/>
            <w:vAlign w:val="center"/>
          </w:tcPr>
          <w:p w14:paraId="69DDBC54">
            <w:pPr>
              <w:pageBreakBefore w:val="0"/>
              <w:kinsoku/>
              <w:wordWrap/>
              <w:overflowPunct/>
              <w:topLinePunct w:val="0"/>
              <w:autoSpaceDE/>
              <w:autoSpaceDN/>
              <w:bidi w:val="0"/>
              <w:adjustRightInd w:val="0"/>
              <w:snapToGrid/>
              <w:spacing w:line="560" w:lineRule="exact"/>
              <w:ind w:left="0" w:leftChars="0" w:firstLine="0" w:firstLineChars="0"/>
              <w:jc w:val="center"/>
              <w:textAlignment w:val="baseline"/>
              <w:outlineLvl w:val="9"/>
              <w:rPr>
                <w:rFonts w:ascii="Times New Roman" w:hAnsi="Times New Roman" w:eastAsia="仿宋_GB2312" w:cs="微软雅黑"/>
                <w:snapToGrid w:val="0"/>
                <w:color w:val="000000"/>
                <w:spacing w:val="11"/>
                <w:kern w:val="0"/>
                <w:sz w:val="22"/>
                <w:szCs w:val="22"/>
                <w:highlight w:val="none"/>
                <w:lang w:val="en-US" w:eastAsia="en-US" w:bidi="ar-SA"/>
              </w:rPr>
            </w:pPr>
            <w:r>
              <w:rPr>
                <w:rFonts w:hint="eastAsia" w:ascii="Times New Roman" w:hAnsi="Times New Roman" w:eastAsia="仿宋_GB2312" w:cs="Times New Roman"/>
                <w:snapToGrid w:val="0"/>
                <w:color w:val="000000"/>
                <w:spacing w:val="11"/>
                <w:kern w:val="0"/>
                <w:sz w:val="22"/>
                <w:szCs w:val="22"/>
                <w:highlight w:val="none"/>
                <w:lang w:val="en-US" w:eastAsia="zh-CN" w:bidi="ar-SA"/>
              </w:rPr>
              <w:t>审计员</w:t>
            </w:r>
          </w:p>
        </w:tc>
        <w:tc>
          <w:tcPr>
            <w:tcW w:w="1611" w:type="dxa"/>
            <w:vAlign w:val="center"/>
          </w:tcPr>
          <w:p w14:paraId="37F3FD3B">
            <w:pPr>
              <w:pageBreakBefore w:val="0"/>
              <w:kinsoku/>
              <w:wordWrap/>
              <w:overflowPunct/>
              <w:topLinePunct w:val="0"/>
              <w:autoSpaceDE/>
              <w:autoSpaceDN/>
              <w:bidi w:val="0"/>
              <w:adjustRightInd w:val="0"/>
              <w:snapToGrid/>
              <w:spacing w:line="560" w:lineRule="exact"/>
              <w:ind w:left="0" w:leftChars="0" w:firstLine="0" w:firstLineChars="0"/>
              <w:jc w:val="center"/>
              <w:textAlignment w:val="baseline"/>
              <w:outlineLvl w:val="9"/>
              <w:rPr>
                <w:rFonts w:hint="eastAsia" w:ascii="仿宋_GB2312" w:hAnsi="仿宋_GB2312" w:eastAsia="仿宋_GB2312" w:cs="仿宋_GB2312"/>
                <w:snapToGrid w:val="0"/>
                <w:color w:val="000000"/>
                <w:spacing w:val="11"/>
                <w:kern w:val="0"/>
                <w:sz w:val="19"/>
                <w:szCs w:val="19"/>
                <w:highlight w:val="none"/>
                <w:lang w:val="en-US" w:eastAsia="en-US" w:bidi="ar-SA"/>
              </w:rPr>
            </w:pPr>
            <w:r>
              <w:rPr>
                <w:rFonts w:hint="eastAsia" w:ascii="Times New Roman" w:hAnsi="Times New Roman" w:eastAsia="仿宋_GB2312" w:cs="Times New Roman"/>
                <w:snapToGrid w:val="0"/>
                <w:color w:val="000000"/>
                <w:spacing w:val="11"/>
                <w:kern w:val="0"/>
                <w:sz w:val="22"/>
                <w:szCs w:val="22"/>
                <w:highlight w:val="none"/>
                <w:lang w:val="en-US" w:eastAsia="zh-CN" w:bidi="ar-SA"/>
              </w:rPr>
              <w:t>初级会计师</w:t>
            </w:r>
          </w:p>
        </w:tc>
        <w:tc>
          <w:tcPr>
            <w:tcW w:w="3925" w:type="dxa"/>
            <w:vAlign w:val="top"/>
          </w:tcPr>
          <w:p w14:paraId="013CB43C">
            <w:pPr>
              <w:pageBreakBefore w:val="0"/>
              <w:kinsoku/>
              <w:wordWrap/>
              <w:overflowPunct/>
              <w:topLinePunct w:val="0"/>
              <w:autoSpaceDE/>
              <w:autoSpaceDN/>
              <w:bidi w:val="0"/>
              <w:adjustRightInd w:val="0"/>
              <w:snapToGrid/>
              <w:spacing w:line="560" w:lineRule="exact"/>
              <w:ind w:left="0" w:leftChars="0" w:firstLine="0" w:firstLineChars="0"/>
              <w:jc w:val="center"/>
              <w:textAlignment w:val="baseline"/>
              <w:outlineLvl w:val="9"/>
              <w:rPr>
                <w:rFonts w:hint="eastAsia" w:ascii="仿宋_GB2312" w:hAnsi="仿宋_GB2312" w:eastAsia="仿宋_GB2312" w:cs="仿宋_GB2312"/>
                <w:snapToGrid w:val="0"/>
                <w:color w:val="000000"/>
                <w:spacing w:val="9"/>
                <w:kern w:val="0"/>
                <w:sz w:val="19"/>
                <w:szCs w:val="19"/>
                <w:highlight w:val="none"/>
                <w:lang w:val="en-US" w:eastAsia="en-US" w:bidi="ar-SA"/>
              </w:rPr>
            </w:pPr>
            <w:r>
              <w:rPr>
                <w:rFonts w:hint="default" w:ascii="Times New Roman" w:hAnsi="Times New Roman" w:eastAsia="仿宋_GB2312" w:cs="Times New Roman"/>
                <w:snapToGrid w:val="0"/>
                <w:color w:val="000000"/>
                <w:spacing w:val="11"/>
                <w:kern w:val="0"/>
                <w:sz w:val="22"/>
                <w:szCs w:val="22"/>
                <w:highlight w:val="none"/>
                <w:lang w:val="en-US" w:eastAsia="en-US" w:bidi="ar-SA"/>
              </w:rPr>
              <w:t>参与绩效评价指标设计，项目报告的核查检验工作。</w:t>
            </w:r>
          </w:p>
        </w:tc>
      </w:tr>
    </w:tbl>
    <w:p w14:paraId="4FCAF452">
      <w:pPr>
        <w:jc w:val="center"/>
        <w:rPr>
          <w:rFonts w:hint="eastAsia" w:ascii="仿宋_GB2312" w:hAnsi="仿宋_GB2312" w:eastAsia="仿宋_GB2312" w:cs="仿宋_GB2312"/>
          <w:highlight w:val="none"/>
          <w:lang w:val="en-US" w:eastAsia="zh-CN"/>
        </w:rPr>
      </w:pPr>
    </w:p>
    <w:p w14:paraId="26D8205E">
      <w:pPr>
        <w:pStyle w:val="6"/>
        <w:numPr>
          <w:ilvl w:val="0"/>
          <w:numId w:val="21"/>
        </w:numPr>
        <w:bidi w:val="0"/>
        <w:ind w:left="0" w:leftChars="0" w:firstLine="640" w:firstLineChars="0"/>
        <w:rPr>
          <w:rFonts w:hint="eastAsia"/>
          <w:highlight w:val="none"/>
          <w:lang w:val="en-US" w:eastAsia="zh-CN"/>
        </w:rPr>
      </w:pPr>
      <w:r>
        <w:rPr>
          <w:rFonts w:hint="eastAsia"/>
          <w:highlight w:val="none"/>
          <w:lang w:val="en-US" w:eastAsia="zh-CN"/>
        </w:rPr>
        <w:t>组织实施</w:t>
      </w:r>
    </w:p>
    <w:p w14:paraId="1FBC2DED">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依据项目的性质、目标以及预期成果，构建了科学合理的绩效评价指标体系。该指标体系涵盖了项目决策、项目过程、项目产出、项目效益四个维度，选取了具有代表性和可衡量性的关键指标，并为每个指标设定了明确的评价标准与权重，确保评价结果能够全面、准确地反映项目的绩效状况。</w:t>
      </w:r>
    </w:p>
    <w:p w14:paraId="0638A53C">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广泛收集与项目相关的各类数据，包括财务报表、项目文档、业务数据、用户反馈等。在数据收集过程中，注重数据的质量与完整性，对缺失或异常的数据进行了合理的处理和补充。随后，对收集到的数据进行了系统的整理与分类，为后续的数据分析提供了有力支持。</w:t>
      </w:r>
    </w:p>
    <w:p w14:paraId="1631F43D">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对收集到的数据进行了深入挖掘与分析。通过对各项绩效指标的实际完成情况与预期目标进行对比，计算出指标的达成率，并结合指标权重进行综合评分，从而得出项目的整体绩效评价结果。在分析过程中，注重数据之间的关联性与逻辑性，深入剖析项目绩效背后的原因，识别出项目实施过程中的优势与不足，为提出有针对性的改进建议提供了依据。</w:t>
      </w:r>
    </w:p>
    <w:p w14:paraId="2CC8EDB7">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根据数据分析与评估的结果，按照统一的格式和规范撰写项目预算绩效评价报告。报告内容包括项目背景、评价目的、评价指标体系、数据收集与分析方法、绩效评价结果、存在问题与改进建议等多个部分，力求条理清晰、重点突出、语言简洁明了。在报告撰写完成后，及时向项目实施主体及相关利益相关者进行反馈，充分听取各方意见与建议，对报告内容进行进一步的完善与优化，确保评价报告的质量与实用性。</w:t>
      </w:r>
    </w:p>
    <w:p w14:paraId="78EF3E9F">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在评价报告提交后，我们将持续跟踪项目的改进措施落实情况，定期对项目绩效进行复查与评估，确保项目能够根据评价结果及时调整与优化，实现绩效的持续提升。同时，根据项目实施过程中出现的新情况、新问题，适时调整绩效评价指标体系与方法，保持评价工作的适应性与前瞻性，为项目的长期稳定发展提供有力保障。</w:t>
      </w:r>
    </w:p>
    <w:p w14:paraId="5F7C5C9A">
      <w:pPr>
        <w:pStyle w:val="4"/>
        <w:numPr>
          <w:ilvl w:val="0"/>
          <w:numId w:val="10"/>
        </w:numPr>
        <w:bidi w:val="0"/>
        <w:rPr>
          <w:rFonts w:hint="eastAsia"/>
          <w:highlight w:val="none"/>
          <w:lang w:val="en-US" w:eastAsia="zh-CN"/>
        </w:rPr>
      </w:pPr>
      <w:bookmarkStart w:id="158" w:name="_Toc10302"/>
      <w:bookmarkStart w:id="159" w:name="_Toc22739"/>
      <w:bookmarkStart w:id="160" w:name="_Toc28729"/>
      <w:r>
        <w:rPr>
          <w:rFonts w:hint="eastAsia"/>
          <w:highlight w:val="none"/>
          <w:lang w:val="en-US" w:eastAsia="zh-CN"/>
        </w:rPr>
        <w:t>绩效评价综合情况及结论</w:t>
      </w:r>
      <w:bookmarkEnd w:id="158"/>
      <w:bookmarkEnd w:id="159"/>
      <w:bookmarkEnd w:id="160"/>
    </w:p>
    <w:p w14:paraId="5C37F9C5">
      <w:pPr>
        <w:pStyle w:val="5"/>
        <w:numPr>
          <w:ilvl w:val="0"/>
          <w:numId w:val="22"/>
        </w:numPr>
        <w:bidi w:val="0"/>
        <w:ind w:left="420" w:leftChars="0" w:firstLine="218" w:firstLineChars="68"/>
        <w:rPr>
          <w:rFonts w:hint="eastAsia"/>
          <w:highlight w:val="none"/>
          <w:lang w:val="en-US" w:eastAsia="zh-CN"/>
        </w:rPr>
      </w:pPr>
      <w:bookmarkStart w:id="161" w:name="_Toc9294"/>
      <w:bookmarkStart w:id="162" w:name="_Toc2202"/>
      <w:bookmarkStart w:id="163" w:name="_Toc27859"/>
      <w:r>
        <w:rPr>
          <w:rFonts w:hint="eastAsia"/>
          <w:highlight w:val="none"/>
          <w:lang w:val="en-US" w:eastAsia="zh-CN"/>
        </w:rPr>
        <w:t>绩效评价综合结论</w:t>
      </w:r>
      <w:bookmarkEnd w:id="161"/>
      <w:bookmarkEnd w:id="162"/>
      <w:bookmarkEnd w:id="163"/>
    </w:p>
    <w:p w14:paraId="55D259F5">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项目绩效评价工作组通过研究、论证绩效评价指标体系及评分标准，采取数据采集和访谈的方式，对A2024-061、A2024-062、A2024-063、A2024-064、A2024-065克拉玛依区老旧电梯更新改造项目进行客观评价，该项目最终评价得分： </w:t>
      </w:r>
      <w:r>
        <w:rPr>
          <w:rFonts w:hint="eastAsia" w:cs="仿宋_GB2312"/>
          <w:highlight w:val="none"/>
          <w:lang w:val="en-US" w:eastAsia="zh-CN"/>
        </w:rPr>
        <w:t>96</w:t>
      </w:r>
      <w:r>
        <w:rPr>
          <w:rFonts w:hint="eastAsia" w:ascii="仿宋_GB2312" w:hAnsi="仿宋_GB2312" w:eastAsia="仿宋_GB2312" w:cs="仿宋_GB2312"/>
          <w:highlight w:val="none"/>
          <w:lang w:val="en-US" w:eastAsia="zh-CN"/>
        </w:rPr>
        <w:t xml:space="preserve"> 分，评价等级：“ </w:t>
      </w:r>
      <w:r>
        <w:rPr>
          <w:rFonts w:hint="eastAsia" w:cs="仿宋_GB2312"/>
          <w:highlight w:val="none"/>
          <w:lang w:val="en-US" w:eastAsia="zh-CN"/>
        </w:rPr>
        <w:t>优</w:t>
      </w:r>
      <w:r>
        <w:rPr>
          <w:rFonts w:hint="eastAsia" w:ascii="仿宋_GB2312" w:hAnsi="仿宋_GB2312" w:eastAsia="仿宋_GB2312" w:cs="仿宋_GB2312"/>
          <w:highlight w:val="none"/>
          <w:lang w:val="en-US" w:eastAsia="zh-CN"/>
        </w:rPr>
        <w:t xml:space="preserve"> ”。具体情况描述如下：</w:t>
      </w:r>
    </w:p>
    <w:p w14:paraId="5A8E65EB">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项目决策类指标权重为 20 分，得分为 </w:t>
      </w:r>
      <w:r>
        <w:rPr>
          <w:rFonts w:hint="eastAsia" w:cs="仿宋_GB2312"/>
          <w:highlight w:val="none"/>
          <w:lang w:val="en-US" w:eastAsia="zh-CN"/>
        </w:rPr>
        <w:t>18</w:t>
      </w:r>
      <w:r>
        <w:rPr>
          <w:rFonts w:hint="eastAsia" w:ascii="仿宋_GB2312" w:hAnsi="仿宋_GB2312" w:eastAsia="仿宋_GB2312" w:cs="仿宋_GB2312"/>
          <w:highlight w:val="none"/>
          <w:lang w:val="en-US" w:eastAsia="zh-CN"/>
        </w:rPr>
        <w:t xml:space="preserve"> 分，得分率为 </w:t>
      </w:r>
      <w:r>
        <w:rPr>
          <w:rFonts w:hint="eastAsia" w:cs="仿宋_GB2312"/>
          <w:highlight w:val="none"/>
          <w:lang w:val="en-US" w:eastAsia="zh-CN"/>
        </w:rPr>
        <w:t>90</w:t>
      </w:r>
      <w:r>
        <w:rPr>
          <w:rFonts w:hint="eastAsia" w:ascii="仿宋_GB2312" w:hAnsi="仿宋_GB2312" w:eastAsia="仿宋_GB2312" w:cs="仿宋_GB2312"/>
          <w:highlight w:val="none"/>
          <w:lang w:val="en-US" w:eastAsia="zh-CN"/>
        </w:rPr>
        <w:t xml:space="preserve">%，扣 </w:t>
      </w:r>
      <w:r>
        <w:rPr>
          <w:rFonts w:hint="eastAsia" w:cs="仿宋_GB2312"/>
          <w:highlight w:val="none"/>
          <w:lang w:val="en-US" w:eastAsia="zh-CN"/>
        </w:rPr>
        <w:t>2</w:t>
      </w:r>
      <w:r>
        <w:rPr>
          <w:rFonts w:hint="eastAsia" w:ascii="仿宋_GB2312" w:hAnsi="仿宋_GB2312" w:eastAsia="仿宋_GB2312" w:cs="仿宋_GB2312"/>
          <w:highlight w:val="none"/>
          <w:lang w:val="en-US" w:eastAsia="zh-CN"/>
        </w:rPr>
        <w:t xml:space="preserve"> 分，主要原因是绩效目标指标设置不够合理。</w:t>
      </w:r>
    </w:p>
    <w:p w14:paraId="353CEF28">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项目管理类指标权重为 20 分，得分为 </w:t>
      </w:r>
      <w:r>
        <w:rPr>
          <w:rFonts w:hint="eastAsia" w:cs="仿宋_GB2312"/>
          <w:highlight w:val="none"/>
          <w:lang w:val="en-US" w:eastAsia="zh-CN"/>
        </w:rPr>
        <w:t>19</w:t>
      </w:r>
      <w:r>
        <w:rPr>
          <w:rFonts w:hint="eastAsia" w:ascii="仿宋_GB2312" w:hAnsi="仿宋_GB2312" w:eastAsia="仿宋_GB2312" w:cs="仿宋_GB2312"/>
          <w:highlight w:val="none"/>
          <w:lang w:val="en-US" w:eastAsia="zh-CN"/>
        </w:rPr>
        <w:t xml:space="preserve"> 分，得分率为 </w:t>
      </w:r>
      <w:r>
        <w:rPr>
          <w:rFonts w:hint="eastAsia" w:cs="仿宋_GB2312"/>
          <w:highlight w:val="none"/>
          <w:lang w:val="en-US" w:eastAsia="zh-CN"/>
        </w:rPr>
        <w:t>95</w:t>
      </w:r>
      <w:r>
        <w:rPr>
          <w:rFonts w:hint="eastAsia" w:ascii="仿宋_GB2312" w:hAnsi="仿宋_GB2312" w:eastAsia="仿宋_GB2312" w:cs="仿宋_GB2312"/>
          <w:highlight w:val="none"/>
          <w:lang w:val="en-US" w:eastAsia="zh-CN"/>
        </w:rPr>
        <w:t xml:space="preserve">%，扣 </w:t>
      </w:r>
      <w:r>
        <w:rPr>
          <w:rFonts w:hint="eastAsia" w:cs="仿宋_GB2312"/>
          <w:highlight w:val="none"/>
          <w:lang w:val="en-US" w:eastAsia="zh-CN"/>
        </w:rPr>
        <w:t>1</w:t>
      </w:r>
      <w:r>
        <w:rPr>
          <w:rFonts w:hint="eastAsia" w:ascii="仿宋_GB2312" w:hAnsi="仿宋_GB2312" w:eastAsia="仿宋_GB2312" w:cs="仿宋_GB2312"/>
          <w:highlight w:val="none"/>
          <w:lang w:val="en-US" w:eastAsia="zh-CN"/>
        </w:rPr>
        <w:t xml:space="preserve"> 分，主要原因是制度执行有效性有缺陷。</w:t>
      </w:r>
    </w:p>
    <w:p w14:paraId="2C3D1306">
      <w:pPr>
        <w:rPr>
          <w:rFonts w:hint="eastAsia" w:cs="仿宋_GB2312"/>
          <w:highlight w:val="none"/>
          <w:lang w:val="en-US" w:eastAsia="zh-CN"/>
        </w:rPr>
      </w:pPr>
      <w:r>
        <w:rPr>
          <w:rFonts w:hint="eastAsia" w:ascii="仿宋_GB2312" w:hAnsi="仿宋_GB2312" w:eastAsia="仿宋_GB2312" w:cs="仿宋_GB2312"/>
          <w:highlight w:val="none"/>
          <w:lang w:val="en-US" w:eastAsia="zh-CN"/>
        </w:rPr>
        <w:t xml:space="preserve">项目产出类指标权重为 40 分，得分为 </w:t>
      </w:r>
      <w:r>
        <w:rPr>
          <w:rFonts w:hint="eastAsia" w:cs="仿宋_GB2312"/>
          <w:highlight w:val="none"/>
          <w:lang w:val="en-US" w:eastAsia="zh-CN"/>
        </w:rPr>
        <w:t>39</w:t>
      </w:r>
      <w:r>
        <w:rPr>
          <w:rFonts w:hint="eastAsia" w:ascii="仿宋_GB2312" w:hAnsi="仿宋_GB2312" w:eastAsia="仿宋_GB2312" w:cs="仿宋_GB2312"/>
          <w:highlight w:val="none"/>
          <w:lang w:val="en-US" w:eastAsia="zh-CN"/>
        </w:rPr>
        <w:t xml:space="preserve"> 分，得分率为 </w:t>
      </w:r>
      <w:r>
        <w:rPr>
          <w:rFonts w:hint="eastAsia" w:cs="仿宋_GB2312"/>
          <w:highlight w:val="none"/>
          <w:lang w:val="en-US" w:eastAsia="zh-CN"/>
        </w:rPr>
        <w:t>97.5</w:t>
      </w:r>
      <w:r>
        <w:rPr>
          <w:rFonts w:hint="eastAsia" w:ascii="仿宋_GB2312" w:hAnsi="仿宋_GB2312" w:eastAsia="仿宋_GB2312" w:cs="仿宋_GB2312"/>
          <w:highlight w:val="none"/>
          <w:lang w:val="en-US" w:eastAsia="zh-CN"/>
        </w:rPr>
        <w:t>%</w:t>
      </w:r>
      <w:r>
        <w:rPr>
          <w:rFonts w:hint="eastAsia" w:cs="仿宋_GB2312"/>
          <w:highlight w:val="none"/>
          <w:lang w:val="en-US" w:eastAsia="zh-CN"/>
        </w:rPr>
        <w:t>，扣1分。</w:t>
      </w:r>
    </w:p>
    <w:p w14:paraId="5D7ECA4A">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项目效益类指标权重为 20 分，得分为 20 分，得分率为 100%。项目具体打分情况见附件 1 综合评分表。</w:t>
      </w:r>
    </w:p>
    <w:p w14:paraId="56ADFFB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表</w:t>
      </w:r>
      <w:r>
        <w:rPr>
          <w:rFonts w:hint="eastAsia" w:cs="仿宋_GB2312"/>
          <w:b/>
          <w:bCs/>
          <w:sz w:val="24"/>
          <w:szCs w:val="24"/>
          <w:highlight w:val="none"/>
          <w:lang w:val="en-US" w:eastAsia="zh-CN"/>
        </w:rPr>
        <w:t>3</w:t>
      </w:r>
      <w:r>
        <w:rPr>
          <w:rFonts w:hint="eastAsia" w:ascii="仿宋_GB2312" w:hAnsi="仿宋_GB2312" w:eastAsia="仿宋_GB2312" w:cs="仿宋_GB2312"/>
          <w:b/>
          <w:bCs/>
          <w:sz w:val="24"/>
          <w:szCs w:val="24"/>
          <w:highlight w:val="none"/>
          <w:lang w:val="en-US" w:eastAsia="zh-CN"/>
        </w:rPr>
        <w:t>-1</w:t>
      </w:r>
      <w:r>
        <w:rPr>
          <w:rFonts w:hint="eastAsia" w:cs="仿宋_GB2312"/>
          <w:b/>
          <w:bCs/>
          <w:sz w:val="24"/>
          <w:szCs w:val="24"/>
          <w:highlight w:val="none"/>
          <w:lang w:val="en-US" w:eastAsia="zh-CN"/>
        </w:rPr>
        <w:t xml:space="preserve"> </w:t>
      </w:r>
      <w:r>
        <w:rPr>
          <w:rFonts w:hint="eastAsia" w:ascii="仿宋_GB2312" w:hAnsi="仿宋_GB2312" w:eastAsia="仿宋_GB2312" w:cs="仿宋_GB2312"/>
          <w:b/>
          <w:bCs/>
          <w:sz w:val="24"/>
          <w:szCs w:val="24"/>
          <w:highlight w:val="none"/>
          <w:lang w:val="en-US" w:eastAsia="zh-CN"/>
        </w:rPr>
        <w:t>项目综合绩效评价得分情况表</w:t>
      </w:r>
    </w:p>
    <w:tbl>
      <w:tblPr>
        <w:tblStyle w:val="15"/>
        <w:tblW w:w="0" w:type="auto"/>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7"/>
        <w:gridCol w:w="1420"/>
        <w:gridCol w:w="1420"/>
        <w:gridCol w:w="1420"/>
        <w:gridCol w:w="1421"/>
        <w:gridCol w:w="1306"/>
      </w:tblGrid>
      <w:tr w14:paraId="747AF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17" w:type="dxa"/>
            <w:shd w:val="clear" w:color="auto" w:fill="D7D7D7" w:themeFill="background1" w:themeFillShade="D8"/>
          </w:tcPr>
          <w:p w14:paraId="3DFB0CF7">
            <w:pPr>
              <w:ind w:left="0" w:leftChars="0" w:firstLine="0" w:firstLineChars="0"/>
              <w:jc w:val="center"/>
              <w:rPr>
                <w:rFonts w:hint="eastAsia" w:ascii="仿宋_GB2312" w:hAnsi="仿宋_GB2312" w:eastAsia="仿宋_GB2312" w:cs="仿宋_GB2312"/>
                <w:sz w:val="22"/>
                <w:szCs w:val="22"/>
                <w:highlight w:val="none"/>
                <w:vertAlign w:val="baseline"/>
                <w:lang w:val="en-US" w:eastAsia="zh-CN"/>
              </w:rPr>
            </w:pPr>
            <w:r>
              <w:rPr>
                <w:rFonts w:hint="eastAsia" w:ascii="仿宋_GB2312" w:hAnsi="仿宋_GB2312" w:eastAsia="仿宋_GB2312" w:cs="仿宋_GB2312"/>
                <w:sz w:val="22"/>
                <w:szCs w:val="22"/>
                <w:highlight w:val="none"/>
                <w:vertAlign w:val="baseline"/>
                <w:lang w:val="en-US" w:eastAsia="zh-CN"/>
              </w:rPr>
              <w:t>指标</w:t>
            </w:r>
          </w:p>
        </w:tc>
        <w:tc>
          <w:tcPr>
            <w:tcW w:w="1420" w:type="dxa"/>
            <w:shd w:val="clear" w:color="auto" w:fill="D7D7D7" w:themeFill="background1" w:themeFillShade="D8"/>
          </w:tcPr>
          <w:p w14:paraId="53F21DBB">
            <w:pPr>
              <w:ind w:left="0" w:leftChars="0" w:firstLine="0" w:firstLineChars="0"/>
              <w:jc w:val="center"/>
              <w:rPr>
                <w:rFonts w:hint="eastAsia" w:ascii="仿宋_GB2312" w:hAnsi="仿宋_GB2312" w:eastAsia="仿宋_GB2312" w:cs="仿宋_GB2312"/>
                <w:sz w:val="22"/>
                <w:szCs w:val="22"/>
                <w:highlight w:val="none"/>
                <w:vertAlign w:val="baseline"/>
                <w:lang w:val="en-US" w:eastAsia="zh-CN"/>
              </w:rPr>
            </w:pPr>
            <w:r>
              <w:rPr>
                <w:rFonts w:hint="eastAsia" w:ascii="仿宋_GB2312" w:hAnsi="仿宋_GB2312" w:eastAsia="仿宋_GB2312" w:cs="仿宋_GB2312"/>
                <w:sz w:val="22"/>
                <w:szCs w:val="22"/>
                <w:highlight w:val="none"/>
                <w:vertAlign w:val="baseline"/>
                <w:lang w:val="en-US" w:eastAsia="zh-CN"/>
              </w:rPr>
              <w:t>项目决策</w:t>
            </w:r>
          </w:p>
        </w:tc>
        <w:tc>
          <w:tcPr>
            <w:tcW w:w="1420" w:type="dxa"/>
            <w:shd w:val="clear" w:color="auto" w:fill="D7D7D7" w:themeFill="background1" w:themeFillShade="D8"/>
          </w:tcPr>
          <w:p w14:paraId="4B164A9E">
            <w:pPr>
              <w:ind w:left="0" w:leftChars="0" w:firstLine="0" w:firstLineChars="0"/>
              <w:jc w:val="center"/>
              <w:rPr>
                <w:rFonts w:hint="eastAsia" w:ascii="仿宋_GB2312" w:hAnsi="仿宋_GB2312" w:eastAsia="仿宋_GB2312" w:cs="仿宋_GB2312"/>
                <w:sz w:val="22"/>
                <w:szCs w:val="22"/>
                <w:highlight w:val="none"/>
                <w:vertAlign w:val="baseline"/>
                <w:lang w:val="en-US" w:eastAsia="zh-CN"/>
              </w:rPr>
            </w:pPr>
            <w:r>
              <w:rPr>
                <w:rFonts w:hint="eastAsia" w:ascii="仿宋_GB2312" w:hAnsi="仿宋_GB2312" w:eastAsia="仿宋_GB2312" w:cs="仿宋_GB2312"/>
                <w:sz w:val="22"/>
                <w:szCs w:val="22"/>
                <w:highlight w:val="none"/>
                <w:vertAlign w:val="baseline"/>
                <w:lang w:val="en-US" w:eastAsia="zh-CN"/>
              </w:rPr>
              <w:t>项目管理</w:t>
            </w:r>
          </w:p>
        </w:tc>
        <w:tc>
          <w:tcPr>
            <w:tcW w:w="1420" w:type="dxa"/>
            <w:shd w:val="clear" w:color="auto" w:fill="D7D7D7" w:themeFill="background1" w:themeFillShade="D8"/>
          </w:tcPr>
          <w:p w14:paraId="6CE9CA85">
            <w:pPr>
              <w:ind w:left="0" w:leftChars="0" w:firstLine="0" w:firstLineChars="0"/>
              <w:jc w:val="center"/>
              <w:rPr>
                <w:rFonts w:hint="eastAsia" w:ascii="仿宋_GB2312" w:hAnsi="仿宋_GB2312" w:eastAsia="仿宋_GB2312" w:cs="仿宋_GB2312"/>
                <w:sz w:val="22"/>
                <w:szCs w:val="22"/>
                <w:highlight w:val="none"/>
                <w:vertAlign w:val="baseline"/>
                <w:lang w:val="en-US" w:eastAsia="zh-CN"/>
              </w:rPr>
            </w:pPr>
            <w:r>
              <w:rPr>
                <w:rFonts w:hint="eastAsia" w:ascii="仿宋_GB2312" w:hAnsi="仿宋_GB2312" w:eastAsia="仿宋_GB2312" w:cs="仿宋_GB2312"/>
                <w:sz w:val="22"/>
                <w:szCs w:val="22"/>
                <w:highlight w:val="none"/>
                <w:vertAlign w:val="baseline"/>
                <w:lang w:val="en-US" w:eastAsia="zh-CN"/>
              </w:rPr>
              <w:t>项目产出</w:t>
            </w:r>
          </w:p>
        </w:tc>
        <w:tc>
          <w:tcPr>
            <w:tcW w:w="1421" w:type="dxa"/>
            <w:shd w:val="clear" w:color="auto" w:fill="D7D7D7" w:themeFill="background1" w:themeFillShade="D8"/>
          </w:tcPr>
          <w:p w14:paraId="3766DFB2">
            <w:pPr>
              <w:ind w:left="0" w:leftChars="0" w:firstLine="0" w:firstLineChars="0"/>
              <w:jc w:val="center"/>
              <w:rPr>
                <w:rFonts w:hint="eastAsia" w:ascii="仿宋_GB2312" w:hAnsi="仿宋_GB2312" w:eastAsia="仿宋_GB2312" w:cs="仿宋_GB2312"/>
                <w:sz w:val="22"/>
                <w:szCs w:val="22"/>
                <w:highlight w:val="none"/>
                <w:vertAlign w:val="baseline"/>
                <w:lang w:val="en-US" w:eastAsia="zh-CN"/>
              </w:rPr>
            </w:pPr>
            <w:r>
              <w:rPr>
                <w:rFonts w:hint="eastAsia" w:ascii="仿宋_GB2312" w:hAnsi="仿宋_GB2312" w:eastAsia="仿宋_GB2312" w:cs="仿宋_GB2312"/>
                <w:sz w:val="22"/>
                <w:szCs w:val="22"/>
                <w:highlight w:val="none"/>
                <w:vertAlign w:val="baseline"/>
                <w:lang w:val="en-US" w:eastAsia="zh-CN"/>
              </w:rPr>
              <w:t>项目效益</w:t>
            </w:r>
          </w:p>
        </w:tc>
        <w:tc>
          <w:tcPr>
            <w:tcW w:w="1306" w:type="dxa"/>
            <w:shd w:val="clear" w:color="auto" w:fill="D7D7D7" w:themeFill="background1" w:themeFillShade="D8"/>
          </w:tcPr>
          <w:p w14:paraId="0D4FF1A1">
            <w:pPr>
              <w:ind w:left="0" w:leftChars="0" w:firstLine="0" w:firstLineChars="0"/>
              <w:jc w:val="center"/>
              <w:rPr>
                <w:rFonts w:hint="eastAsia" w:ascii="仿宋_GB2312" w:hAnsi="仿宋_GB2312" w:eastAsia="仿宋_GB2312" w:cs="仿宋_GB2312"/>
                <w:sz w:val="22"/>
                <w:szCs w:val="22"/>
                <w:highlight w:val="none"/>
                <w:vertAlign w:val="baseline"/>
                <w:lang w:val="en-US" w:eastAsia="zh-CN"/>
              </w:rPr>
            </w:pPr>
            <w:r>
              <w:rPr>
                <w:rFonts w:hint="eastAsia" w:ascii="仿宋_GB2312" w:hAnsi="仿宋_GB2312" w:eastAsia="仿宋_GB2312" w:cs="仿宋_GB2312"/>
                <w:sz w:val="22"/>
                <w:szCs w:val="22"/>
                <w:highlight w:val="none"/>
                <w:vertAlign w:val="baseline"/>
                <w:lang w:val="en-US" w:eastAsia="zh-CN"/>
              </w:rPr>
              <w:t>合计</w:t>
            </w:r>
          </w:p>
        </w:tc>
      </w:tr>
      <w:tr w14:paraId="1AB4E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7" w:type="dxa"/>
          </w:tcPr>
          <w:p w14:paraId="10447C7B">
            <w:pPr>
              <w:ind w:left="0" w:leftChars="0" w:firstLine="0" w:firstLineChars="0"/>
              <w:jc w:val="center"/>
              <w:rPr>
                <w:rFonts w:hint="eastAsia" w:ascii="仿宋_GB2312" w:hAnsi="仿宋_GB2312" w:eastAsia="仿宋_GB2312" w:cs="仿宋_GB2312"/>
                <w:sz w:val="22"/>
                <w:szCs w:val="22"/>
                <w:highlight w:val="none"/>
                <w:vertAlign w:val="baseline"/>
                <w:lang w:val="en-US" w:eastAsia="zh-CN"/>
              </w:rPr>
            </w:pPr>
            <w:r>
              <w:rPr>
                <w:rFonts w:hint="eastAsia" w:ascii="仿宋_GB2312" w:hAnsi="仿宋_GB2312" w:eastAsia="仿宋_GB2312" w:cs="仿宋_GB2312"/>
                <w:sz w:val="22"/>
                <w:szCs w:val="22"/>
                <w:highlight w:val="none"/>
                <w:vertAlign w:val="baseline"/>
                <w:lang w:val="en-US" w:eastAsia="zh-CN"/>
              </w:rPr>
              <w:t>权重</w:t>
            </w:r>
          </w:p>
        </w:tc>
        <w:tc>
          <w:tcPr>
            <w:tcW w:w="1420" w:type="dxa"/>
          </w:tcPr>
          <w:p w14:paraId="3200A2B1">
            <w:pPr>
              <w:ind w:left="0" w:leftChars="0" w:firstLine="0" w:firstLineChars="0"/>
              <w:jc w:val="center"/>
              <w:rPr>
                <w:rFonts w:hint="default" w:ascii="Times New Roman" w:hAnsi="Times New Roman" w:eastAsia="仿宋_GB2312" w:cs="Times New Roman"/>
                <w:sz w:val="22"/>
                <w:szCs w:val="22"/>
                <w:highlight w:val="none"/>
                <w:vertAlign w:val="baseline"/>
                <w:lang w:val="en-US" w:eastAsia="zh-CN"/>
              </w:rPr>
            </w:pPr>
            <w:r>
              <w:rPr>
                <w:rFonts w:hint="default" w:ascii="Times New Roman" w:hAnsi="Times New Roman" w:eastAsia="仿宋_GB2312" w:cs="Times New Roman"/>
                <w:sz w:val="22"/>
                <w:szCs w:val="22"/>
                <w:highlight w:val="none"/>
                <w:vertAlign w:val="baseline"/>
                <w:lang w:val="en-US" w:eastAsia="zh-CN"/>
              </w:rPr>
              <w:t>20</w:t>
            </w:r>
          </w:p>
        </w:tc>
        <w:tc>
          <w:tcPr>
            <w:tcW w:w="1420" w:type="dxa"/>
          </w:tcPr>
          <w:p w14:paraId="06D7B285">
            <w:pPr>
              <w:ind w:left="0" w:leftChars="0" w:firstLine="0" w:firstLineChars="0"/>
              <w:jc w:val="center"/>
              <w:rPr>
                <w:rFonts w:hint="default" w:ascii="Times New Roman" w:hAnsi="Times New Roman" w:eastAsia="仿宋_GB2312" w:cs="Times New Roman"/>
                <w:sz w:val="22"/>
                <w:szCs w:val="22"/>
                <w:highlight w:val="none"/>
                <w:vertAlign w:val="baseline"/>
                <w:lang w:val="en-US" w:eastAsia="zh-CN"/>
              </w:rPr>
            </w:pPr>
            <w:r>
              <w:rPr>
                <w:rFonts w:hint="default" w:ascii="Times New Roman" w:hAnsi="Times New Roman" w:eastAsia="仿宋_GB2312" w:cs="Times New Roman"/>
                <w:sz w:val="22"/>
                <w:szCs w:val="22"/>
                <w:highlight w:val="none"/>
                <w:vertAlign w:val="baseline"/>
                <w:lang w:val="en-US" w:eastAsia="zh-CN"/>
              </w:rPr>
              <w:t>20</w:t>
            </w:r>
          </w:p>
        </w:tc>
        <w:tc>
          <w:tcPr>
            <w:tcW w:w="1420" w:type="dxa"/>
          </w:tcPr>
          <w:p w14:paraId="67881537">
            <w:pPr>
              <w:ind w:left="0" w:leftChars="0" w:firstLine="0" w:firstLineChars="0"/>
              <w:jc w:val="center"/>
              <w:rPr>
                <w:rFonts w:hint="default" w:ascii="Times New Roman" w:hAnsi="Times New Roman" w:eastAsia="仿宋_GB2312" w:cs="Times New Roman"/>
                <w:sz w:val="22"/>
                <w:szCs w:val="22"/>
                <w:highlight w:val="none"/>
                <w:vertAlign w:val="baseline"/>
                <w:lang w:val="en-US" w:eastAsia="zh-CN"/>
              </w:rPr>
            </w:pPr>
            <w:r>
              <w:rPr>
                <w:rFonts w:hint="default" w:ascii="Times New Roman" w:hAnsi="Times New Roman" w:eastAsia="仿宋_GB2312" w:cs="Times New Roman"/>
                <w:sz w:val="22"/>
                <w:szCs w:val="22"/>
                <w:highlight w:val="none"/>
                <w:vertAlign w:val="baseline"/>
                <w:lang w:val="en-US" w:eastAsia="zh-CN"/>
              </w:rPr>
              <w:t>40</w:t>
            </w:r>
          </w:p>
        </w:tc>
        <w:tc>
          <w:tcPr>
            <w:tcW w:w="1421" w:type="dxa"/>
          </w:tcPr>
          <w:p w14:paraId="59200B83">
            <w:pPr>
              <w:ind w:left="0" w:leftChars="0" w:firstLine="0" w:firstLineChars="0"/>
              <w:jc w:val="center"/>
              <w:rPr>
                <w:rFonts w:hint="default" w:ascii="Times New Roman" w:hAnsi="Times New Roman" w:eastAsia="仿宋_GB2312" w:cs="Times New Roman"/>
                <w:sz w:val="22"/>
                <w:szCs w:val="22"/>
                <w:highlight w:val="none"/>
                <w:vertAlign w:val="baseline"/>
                <w:lang w:val="en-US" w:eastAsia="zh-CN"/>
              </w:rPr>
            </w:pPr>
            <w:r>
              <w:rPr>
                <w:rFonts w:hint="default" w:ascii="Times New Roman" w:hAnsi="Times New Roman" w:eastAsia="仿宋_GB2312" w:cs="Times New Roman"/>
                <w:sz w:val="22"/>
                <w:szCs w:val="22"/>
                <w:highlight w:val="none"/>
                <w:vertAlign w:val="baseline"/>
                <w:lang w:val="en-US" w:eastAsia="zh-CN"/>
              </w:rPr>
              <w:t>20</w:t>
            </w:r>
          </w:p>
        </w:tc>
        <w:tc>
          <w:tcPr>
            <w:tcW w:w="1306" w:type="dxa"/>
          </w:tcPr>
          <w:p w14:paraId="0A4FE235">
            <w:pPr>
              <w:ind w:left="0" w:leftChars="0" w:firstLine="0" w:firstLineChars="0"/>
              <w:jc w:val="center"/>
              <w:rPr>
                <w:rFonts w:hint="default" w:ascii="Times New Roman" w:hAnsi="Times New Roman" w:eastAsia="仿宋_GB2312" w:cs="Times New Roman"/>
                <w:sz w:val="22"/>
                <w:szCs w:val="22"/>
                <w:highlight w:val="none"/>
                <w:vertAlign w:val="baseline"/>
                <w:lang w:val="en-US" w:eastAsia="zh-CN"/>
              </w:rPr>
            </w:pPr>
            <w:r>
              <w:rPr>
                <w:rFonts w:hint="default" w:ascii="Times New Roman" w:hAnsi="Times New Roman" w:eastAsia="仿宋_GB2312" w:cs="Times New Roman"/>
                <w:sz w:val="22"/>
                <w:szCs w:val="22"/>
                <w:highlight w:val="none"/>
                <w:vertAlign w:val="baseline"/>
                <w:lang w:val="en-US" w:eastAsia="zh-CN"/>
              </w:rPr>
              <w:t>100</w:t>
            </w:r>
          </w:p>
        </w:tc>
      </w:tr>
      <w:tr w14:paraId="60AC0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7" w:type="dxa"/>
          </w:tcPr>
          <w:p w14:paraId="68C961DE">
            <w:pPr>
              <w:ind w:left="0" w:leftChars="0" w:firstLine="0" w:firstLineChars="0"/>
              <w:jc w:val="center"/>
              <w:rPr>
                <w:rFonts w:hint="eastAsia" w:ascii="仿宋_GB2312" w:hAnsi="仿宋_GB2312" w:eastAsia="仿宋_GB2312" w:cs="仿宋_GB2312"/>
                <w:sz w:val="22"/>
                <w:szCs w:val="22"/>
                <w:highlight w:val="none"/>
                <w:vertAlign w:val="baseline"/>
                <w:lang w:val="en-US" w:eastAsia="zh-CN"/>
              </w:rPr>
            </w:pPr>
            <w:r>
              <w:rPr>
                <w:rFonts w:hint="eastAsia" w:ascii="仿宋_GB2312" w:hAnsi="仿宋_GB2312" w:eastAsia="仿宋_GB2312" w:cs="仿宋_GB2312"/>
                <w:sz w:val="22"/>
                <w:szCs w:val="22"/>
                <w:highlight w:val="none"/>
                <w:vertAlign w:val="baseline"/>
                <w:lang w:val="en-US" w:eastAsia="zh-CN"/>
              </w:rPr>
              <w:t>分值</w:t>
            </w:r>
          </w:p>
        </w:tc>
        <w:tc>
          <w:tcPr>
            <w:tcW w:w="1420" w:type="dxa"/>
          </w:tcPr>
          <w:p w14:paraId="20C05277">
            <w:pPr>
              <w:ind w:left="0" w:leftChars="0" w:firstLine="0" w:firstLineChars="0"/>
              <w:jc w:val="center"/>
              <w:rPr>
                <w:rFonts w:hint="default" w:ascii="Times New Roman" w:hAnsi="Times New Roman" w:eastAsia="仿宋_GB2312" w:cs="Times New Roman"/>
                <w:sz w:val="22"/>
                <w:szCs w:val="22"/>
                <w:highlight w:val="none"/>
                <w:vertAlign w:val="baseline"/>
                <w:lang w:val="en-US" w:eastAsia="zh-CN"/>
              </w:rPr>
            </w:pPr>
            <w:r>
              <w:rPr>
                <w:rFonts w:hint="eastAsia" w:ascii="Times New Roman" w:hAnsi="Times New Roman" w:cs="Times New Roman"/>
                <w:sz w:val="22"/>
                <w:szCs w:val="22"/>
                <w:highlight w:val="none"/>
                <w:vertAlign w:val="baseline"/>
                <w:lang w:val="en-US" w:eastAsia="zh-CN"/>
              </w:rPr>
              <w:t>18</w:t>
            </w:r>
          </w:p>
        </w:tc>
        <w:tc>
          <w:tcPr>
            <w:tcW w:w="1420" w:type="dxa"/>
          </w:tcPr>
          <w:p w14:paraId="3A31981A">
            <w:pPr>
              <w:ind w:left="0" w:leftChars="0" w:firstLine="0" w:firstLineChars="0"/>
              <w:jc w:val="center"/>
              <w:rPr>
                <w:rFonts w:hint="default" w:ascii="Times New Roman" w:hAnsi="Times New Roman" w:eastAsia="仿宋_GB2312" w:cs="Times New Roman"/>
                <w:sz w:val="22"/>
                <w:szCs w:val="22"/>
                <w:highlight w:val="none"/>
                <w:vertAlign w:val="baseline"/>
                <w:lang w:val="en-US" w:eastAsia="zh-CN"/>
              </w:rPr>
            </w:pPr>
            <w:r>
              <w:rPr>
                <w:rFonts w:hint="eastAsia" w:ascii="Times New Roman" w:hAnsi="Times New Roman" w:cs="Times New Roman"/>
                <w:sz w:val="22"/>
                <w:szCs w:val="22"/>
                <w:highlight w:val="none"/>
                <w:vertAlign w:val="baseline"/>
                <w:lang w:val="en-US" w:eastAsia="zh-CN"/>
              </w:rPr>
              <w:t>19</w:t>
            </w:r>
          </w:p>
        </w:tc>
        <w:tc>
          <w:tcPr>
            <w:tcW w:w="1420" w:type="dxa"/>
          </w:tcPr>
          <w:p w14:paraId="3A64CC0A">
            <w:pPr>
              <w:ind w:left="0" w:leftChars="0" w:firstLine="0" w:firstLineChars="0"/>
              <w:jc w:val="center"/>
              <w:rPr>
                <w:rFonts w:hint="default" w:ascii="Times New Roman" w:hAnsi="Times New Roman" w:eastAsia="仿宋_GB2312" w:cs="Times New Roman"/>
                <w:sz w:val="22"/>
                <w:szCs w:val="22"/>
                <w:highlight w:val="none"/>
                <w:vertAlign w:val="baseline"/>
                <w:lang w:val="en-US" w:eastAsia="zh-CN"/>
              </w:rPr>
            </w:pPr>
            <w:r>
              <w:rPr>
                <w:rFonts w:hint="eastAsia" w:ascii="Times New Roman" w:hAnsi="Times New Roman" w:cs="Times New Roman"/>
                <w:sz w:val="22"/>
                <w:szCs w:val="22"/>
                <w:highlight w:val="none"/>
                <w:vertAlign w:val="baseline"/>
                <w:lang w:val="en-US" w:eastAsia="zh-CN"/>
              </w:rPr>
              <w:t>39</w:t>
            </w:r>
          </w:p>
        </w:tc>
        <w:tc>
          <w:tcPr>
            <w:tcW w:w="1421" w:type="dxa"/>
          </w:tcPr>
          <w:p w14:paraId="5D6F5DBB">
            <w:pPr>
              <w:ind w:left="0" w:leftChars="0" w:firstLine="0" w:firstLineChars="0"/>
              <w:jc w:val="center"/>
              <w:rPr>
                <w:rFonts w:hint="default" w:ascii="Times New Roman" w:hAnsi="Times New Roman" w:eastAsia="仿宋_GB2312" w:cs="Times New Roman"/>
                <w:sz w:val="22"/>
                <w:szCs w:val="22"/>
                <w:highlight w:val="none"/>
                <w:vertAlign w:val="baseline"/>
                <w:lang w:val="en-US" w:eastAsia="zh-CN"/>
              </w:rPr>
            </w:pPr>
            <w:r>
              <w:rPr>
                <w:rFonts w:hint="default" w:ascii="Times New Roman" w:hAnsi="Times New Roman" w:eastAsia="仿宋_GB2312" w:cs="Times New Roman"/>
                <w:sz w:val="22"/>
                <w:szCs w:val="22"/>
                <w:highlight w:val="none"/>
                <w:vertAlign w:val="baseline"/>
                <w:lang w:val="en-US" w:eastAsia="zh-CN"/>
              </w:rPr>
              <w:t>20</w:t>
            </w:r>
          </w:p>
        </w:tc>
        <w:tc>
          <w:tcPr>
            <w:tcW w:w="1306" w:type="dxa"/>
          </w:tcPr>
          <w:p w14:paraId="611E0CCC">
            <w:pPr>
              <w:ind w:left="0" w:leftChars="0" w:firstLine="0" w:firstLineChars="0"/>
              <w:jc w:val="center"/>
              <w:rPr>
                <w:rFonts w:hint="default" w:ascii="Times New Roman" w:hAnsi="Times New Roman" w:eastAsia="仿宋_GB2312" w:cs="Times New Roman"/>
                <w:sz w:val="22"/>
                <w:szCs w:val="22"/>
                <w:highlight w:val="none"/>
                <w:vertAlign w:val="baseline"/>
                <w:lang w:val="en-US" w:eastAsia="zh-CN"/>
              </w:rPr>
            </w:pPr>
            <w:r>
              <w:rPr>
                <w:rFonts w:hint="eastAsia" w:ascii="Times New Roman" w:hAnsi="Times New Roman" w:cs="Times New Roman"/>
                <w:sz w:val="22"/>
                <w:szCs w:val="22"/>
                <w:highlight w:val="none"/>
                <w:vertAlign w:val="baseline"/>
                <w:lang w:val="en-US" w:eastAsia="zh-CN"/>
              </w:rPr>
              <w:t>96</w:t>
            </w:r>
          </w:p>
        </w:tc>
      </w:tr>
      <w:tr w14:paraId="34B08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7" w:type="dxa"/>
          </w:tcPr>
          <w:p w14:paraId="40CCB147">
            <w:pPr>
              <w:ind w:left="0" w:leftChars="0" w:firstLine="0" w:firstLineChars="0"/>
              <w:jc w:val="center"/>
              <w:rPr>
                <w:rFonts w:hint="eastAsia" w:ascii="仿宋_GB2312" w:hAnsi="仿宋_GB2312" w:eastAsia="仿宋_GB2312" w:cs="仿宋_GB2312"/>
                <w:sz w:val="22"/>
                <w:szCs w:val="22"/>
                <w:highlight w:val="none"/>
                <w:vertAlign w:val="baseline"/>
                <w:lang w:val="en-US" w:eastAsia="zh-CN"/>
              </w:rPr>
            </w:pPr>
            <w:r>
              <w:rPr>
                <w:rFonts w:hint="eastAsia" w:ascii="仿宋_GB2312" w:hAnsi="仿宋_GB2312" w:eastAsia="仿宋_GB2312" w:cs="仿宋_GB2312"/>
                <w:sz w:val="22"/>
                <w:szCs w:val="22"/>
                <w:highlight w:val="none"/>
                <w:vertAlign w:val="baseline"/>
                <w:lang w:val="en-US" w:eastAsia="zh-CN"/>
              </w:rPr>
              <w:t>得分率</w:t>
            </w:r>
          </w:p>
        </w:tc>
        <w:tc>
          <w:tcPr>
            <w:tcW w:w="1420" w:type="dxa"/>
          </w:tcPr>
          <w:p w14:paraId="4BE116DC">
            <w:pPr>
              <w:ind w:left="0" w:leftChars="0" w:firstLine="0" w:firstLineChars="0"/>
              <w:jc w:val="center"/>
              <w:rPr>
                <w:rFonts w:hint="default" w:ascii="Times New Roman" w:hAnsi="Times New Roman" w:eastAsia="仿宋_GB2312" w:cs="Times New Roman"/>
                <w:sz w:val="22"/>
                <w:szCs w:val="22"/>
                <w:highlight w:val="none"/>
                <w:vertAlign w:val="baseline"/>
                <w:lang w:val="en-US" w:eastAsia="zh-CN"/>
              </w:rPr>
            </w:pPr>
            <w:r>
              <w:rPr>
                <w:rFonts w:hint="eastAsia" w:ascii="Times New Roman" w:hAnsi="Times New Roman" w:cs="Times New Roman"/>
                <w:sz w:val="22"/>
                <w:szCs w:val="22"/>
                <w:highlight w:val="none"/>
                <w:vertAlign w:val="baseline"/>
                <w:lang w:val="en-US" w:eastAsia="zh-CN"/>
              </w:rPr>
              <w:t>90</w:t>
            </w:r>
            <w:r>
              <w:rPr>
                <w:rFonts w:hint="default" w:ascii="Times New Roman" w:hAnsi="Times New Roman" w:eastAsia="仿宋_GB2312" w:cs="Times New Roman"/>
                <w:sz w:val="22"/>
                <w:szCs w:val="22"/>
                <w:highlight w:val="none"/>
                <w:vertAlign w:val="baseline"/>
                <w:lang w:val="en-US" w:eastAsia="zh-CN"/>
              </w:rPr>
              <w:t>%</w:t>
            </w:r>
          </w:p>
        </w:tc>
        <w:tc>
          <w:tcPr>
            <w:tcW w:w="1420" w:type="dxa"/>
          </w:tcPr>
          <w:p w14:paraId="3CBF1B1B">
            <w:pPr>
              <w:ind w:left="0" w:leftChars="0" w:firstLine="0" w:firstLineChars="0"/>
              <w:jc w:val="center"/>
              <w:rPr>
                <w:rFonts w:hint="default" w:ascii="Times New Roman" w:hAnsi="Times New Roman" w:eastAsia="仿宋_GB2312" w:cs="Times New Roman"/>
                <w:sz w:val="22"/>
                <w:szCs w:val="22"/>
                <w:highlight w:val="none"/>
                <w:vertAlign w:val="baseline"/>
                <w:lang w:val="en-US" w:eastAsia="zh-CN"/>
              </w:rPr>
            </w:pPr>
            <w:r>
              <w:rPr>
                <w:rFonts w:hint="eastAsia" w:ascii="Times New Roman" w:hAnsi="Times New Roman" w:cs="Times New Roman"/>
                <w:sz w:val="22"/>
                <w:szCs w:val="22"/>
                <w:highlight w:val="none"/>
                <w:vertAlign w:val="baseline"/>
                <w:lang w:val="en-US" w:eastAsia="zh-CN"/>
              </w:rPr>
              <w:t>95</w:t>
            </w:r>
            <w:r>
              <w:rPr>
                <w:rFonts w:hint="default" w:ascii="Times New Roman" w:hAnsi="Times New Roman" w:eastAsia="仿宋_GB2312" w:cs="Times New Roman"/>
                <w:sz w:val="22"/>
                <w:szCs w:val="22"/>
                <w:highlight w:val="none"/>
                <w:vertAlign w:val="baseline"/>
                <w:lang w:val="en-US" w:eastAsia="zh-CN"/>
              </w:rPr>
              <w:t>%</w:t>
            </w:r>
          </w:p>
        </w:tc>
        <w:tc>
          <w:tcPr>
            <w:tcW w:w="1420" w:type="dxa"/>
          </w:tcPr>
          <w:p w14:paraId="43BB1142">
            <w:pPr>
              <w:ind w:left="0" w:leftChars="0" w:firstLine="0" w:firstLineChars="0"/>
              <w:jc w:val="center"/>
              <w:rPr>
                <w:rFonts w:hint="default" w:ascii="Times New Roman" w:hAnsi="Times New Roman" w:eastAsia="仿宋_GB2312" w:cs="Times New Roman"/>
                <w:sz w:val="22"/>
                <w:szCs w:val="22"/>
                <w:highlight w:val="none"/>
                <w:vertAlign w:val="baseline"/>
                <w:lang w:val="en-US" w:eastAsia="zh-CN"/>
              </w:rPr>
            </w:pPr>
            <w:r>
              <w:rPr>
                <w:rFonts w:hint="eastAsia" w:ascii="Times New Roman" w:hAnsi="Times New Roman" w:cs="Times New Roman"/>
                <w:sz w:val="22"/>
                <w:szCs w:val="22"/>
                <w:highlight w:val="none"/>
                <w:vertAlign w:val="baseline"/>
                <w:lang w:val="en-US" w:eastAsia="zh-CN"/>
              </w:rPr>
              <w:t>97.5</w:t>
            </w:r>
            <w:r>
              <w:rPr>
                <w:rFonts w:hint="default" w:ascii="Times New Roman" w:hAnsi="Times New Roman" w:eastAsia="仿宋_GB2312" w:cs="Times New Roman"/>
                <w:sz w:val="22"/>
                <w:szCs w:val="22"/>
                <w:highlight w:val="none"/>
                <w:vertAlign w:val="baseline"/>
                <w:lang w:val="en-US" w:eastAsia="zh-CN"/>
              </w:rPr>
              <w:t>%</w:t>
            </w:r>
          </w:p>
        </w:tc>
        <w:tc>
          <w:tcPr>
            <w:tcW w:w="1421" w:type="dxa"/>
          </w:tcPr>
          <w:p w14:paraId="460F6F12">
            <w:pPr>
              <w:ind w:left="0" w:leftChars="0" w:firstLine="0" w:firstLineChars="0"/>
              <w:jc w:val="center"/>
              <w:rPr>
                <w:rFonts w:hint="default" w:ascii="Times New Roman" w:hAnsi="Times New Roman" w:eastAsia="仿宋_GB2312" w:cs="Times New Roman"/>
                <w:sz w:val="22"/>
                <w:szCs w:val="22"/>
                <w:highlight w:val="none"/>
                <w:vertAlign w:val="baseline"/>
                <w:lang w:val="en-US" w:eastAsia="zh-CN"/>
              </w:rPr>
            </w:pPr>
            <w:r>
              <w:rPr>
                <w:rFonts w:hint="default" w:ascii="Times New Roman" w:hAnsi="Times New Roman" w:eastAsia="仿宋_GB2312" w:cs="Times New Roman"/>
                <w:sz w:val="22"/>
                <w:szCs w:val="22"/>
                <w:highlight w:val="none"/>
                <w:vertAlign w:val="baseline"/>
                <w:lang w:val="en-US" w:eastAsia="zh-CN"/>
              </w:rPr>
              <w:t>100%</w:t>
            </w:r>
          </w:p>
        </w:tc>
        <w:tc>
          <w:tcPr>
            <w:tcW w:w="1306" w:type="dxa"/>
          </w:tcPr>
          <w:p w14:paraId="69D9F915">
            <w:pPr>
              <w:ind w:left="0" w:leftChars="0" w:firstLine="0" w:firstLineChars="0"/>
              <w:jc w:val="center"/>
              <w:rPr>
                <w:rFonts w:hint="default" w:ascii="Times New Roman" w:hAnsi="Times New Roman" w:eastAsia="仿宋_GB2312" w:cs="Times New Roman"/>
                <w:sz w:val="22"/>
                <w:szCs w:val="22"/>
                <w:highlight w:val="none"/>
                <w:vertAlign w:val="baseline"/>
                <w:lang w:val="en-US" w:eastAsia="zh-CN"/>
              </w:rPr>
            </w:pPr>
            <w:r>
              <w:rPr>
                <w:rFonts w:hint="eastAsia" w:ascii="Times New Roman" w:hAnsi="Times New Roman" w:cs="Times New Roman"/>
                <w:sz w:val="22"/>
                <w:szCs w:val="22"/>
                <w:highlight w:val="none"/>
                <w:vertAlign w:val="baseline"/>
                <w:lang w:val="en-US" w:eastAsia="zh-CN"/>
              </w:rPr>
              <w:t>96</w:t>
            </w:r>
            <w:r>
              <w:rPr>
                <w:rFonts w:hint="default" w:ascii="Times New Roman" w:hAnsi="Times New Roman" w:eastAsia="仿宋_GB2312" w:cs="Times New Roman"/>
                <w:sz w:val="22"/>
                <w:szCs w:val="22"/>
                <w:highlight w:val="none"/>
                <w:vertAlign w:val="baseline"/>
                <w:lang w:val="en-US" w:eastAsia="zh-CN"/>
              </w:rPr>
              <w:t>%</w:t>
            </w:r>
          </w:p>
        </w:tc>
      </w:tr>
    </w:tbl>
    <w:p w14:paraId="014DF7C2">
      <w:pPr>
        <w:rPr>
          <w:rFonts w:hint="eastAsia" w:ascii="仿宋_GB2312" w:hAnsi="仿宋_GB2312" w:eastAsia="仿宋_GB2312" w:cs="仿宋_GB2312"/>
          <w:highlight w:val="none"/>
          <w:lang w:val="en-US" w:eastAsia="zh-CN"/>
        </w:rPr>
      </w:pPr>
    </w:p>
    <w:p w14:paraId="0AD28C67">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总体来说，该项目建成投产后社会效益效果较好，建议财政部门要在安排该项目次年预算资金时给予保障，避免资金链断裂情况。A2024-061、A2024-062、A2024-063、A2024-064、A2024-065克拉玛依区老旧电梯更新改造项目为经常性惠民项目，应当力求延续项目能够持续有效开展，以期带来更高的社会效益。</w:t>
      </w:r>
    </w:p>
    <w:p w14:paraId="3229D28D">
      <w:pPr>
        <w:pStyle w:val="5"/>
        <w:numPr>
          <w:ilvl w:val="0"/>
          <w:numId w:val="22"/>
        </w:numPr>
        <w:bidi w:val="0"/>
        <w:ind w:left="420" w:leftChars="0" w:firstLine="218" w:firstLineChars="68"/>
        <w:rPr>
          <w:rFonts w:hint="eastAsia"/>
          <w:highlight w:val="none"/>
          <w:lang w:val="en-US" w:eastAsia="zh-CN"/>
        </w:rPr>
      </w:pPr>
      <w:bookmarkStart w:id="164" w:name="_Toc18125"/>
      <w:bookmarkStart w:id="165" w:name="_Toc30047"/>
      <w:bookmarkStart w:id="166" w:name="_Toc24375"/>
      <w:r>
        <w:rPr>
          <w:rFonts w:hint="eastAsia"/>
          <w:highlight w:val="none"/>
          <w:lang w:val="en-US" w:eastAsia="zh-CN"/>
        </w:rPr>
        <w:t>绩效目标</w:t>
      </w:r>
      <w:bookmarkEnd w:id="164"/>
      <w:bookmarkEnd w:id="165"/>
      <w:bookmarkEnd w:id="166"/>
    </w:p>
    <w:p w14:paraId="05071F74">
      <w:pPr>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根据设置的绩效目标及指标，依据现场访谈确定绩效目标及指标如下：</w:t>
      </w:r>
    </w:p>
    <w:p w14:paraId="1088272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b/>
          <w:bCs/>
          <w:sz w:val="24"/>
          <w:szCs w:val="24"/>
          <w:highlight w:val="none"/>
          <w:lang w:val="en-US" w:eastAsia="zh-CN"/>
        </w:rPr>
        <w:t>表</w:t>
      </w:r>
      <w:r>
        <w:rPr>
          <w:rFonts w:hint="eastAsia" w:cs="仿宋_GB2312"/>
          <w:b/>
          <w:bCs/>
          <w:sz w:val="24"/>
          <w:szCs w:val="24"/>
          <w:highlight w:val="none"/>
          <w:lang w:val="en-US" w:eastAsia="zh-CN"/>
        </w:rPr>
        <w:t>3</w:t>
      </w:r>
      <w:r>
        <w:rPr>
          <w:rFonts w:hint="eastAsia" w:ascii="仿宋_GB2312" w:hAnsi="仿宋_GB2312" w:eastAsia="仿宋_GB2312" w:cs="仿宋_GB2312"/>
          <w:b/>
          <w:bCs/>
          <w:sz w:val="24"/>
          <w:szCs w:val="24"/>
          <w:highlight w:val="none"/>
          <w:lang w:val="en-US" w:eastAsia="zh-CN"/>
        </w:rPr>
        <w:t>-</w:t>
      </w:r>
      <w:r>
        <w:rPr>
          <w:rFonts w:hint="eastAsia" w:cs="仿宋_GB2312"/>
          <w:b/>
          <w:bCs/>
          <w:sz w:val="24"/>
          <w:szCs w:val="24"/>
          <w:highlight w:val="none"/>
          <w:lang w:val="en-US" w:eastAsia="zh-CN"/>
        </w:rPr>
        <w:t xml:space="preserve">2 </w:t>
      </w:r>
      <w:r>
        <w:rPr>
          <w:rFonts w:hint="eastAsia" w:ascii="仿宋_GB2312" w:hAnsi="仿宋_GB2312" w:eastAsia="仿宋_GB2312" w:cs="仿宋_GB2312"/>
          <w:b/>
          <w:bCs/>
          <w:sz w:val="24"/>
          <w:szCs w:val="24"/>
          <w:highlight w:val="none"/>
          <w:lang w:val="en-US" w:eastAsia="zh-CN"/>
        </w:rPr>
        <w:t>项目</w:t>
      </w:r>
      <w:r>
        <w:rPr>
          <w:rFonts w:hint="eastAsia" w:cs="仿宋_GB2312"/>
          <w:b/>
          <w:bCs/>
          <w:sz w:val="24"/>
          <w:szCs w:val="24"/>
          <w:highlight w:val="none"/>
          <w:lang w:val="en-US" w:eastAsia="zh-CN"/>
        </w:rPr>
        <w:t>绩效目标</w:t>
      </w:r>
      <w:r>
        <w:rPr>
          <w:rFonts w:hint="eastAsia" w:ascii="仿宋_GB2312" w:hAnsi="仿宋_GB2312" w:eastAsia="仿宋_GB2312" w:cs="仿宋_GB2312"/>
          <w:b/>
          <w:bCs/>
          <w:sz w:val="24"/>
          <w:szCs w:val="24"/>
          <w:highlight w:val="none"/>
          <w:lang w:val="en-US" w:eastAsia="zh-CN"/>
        </w:rPr>
        <w:t>表</w:t>
      </w:r>
    </w:p>
    <w:tbl>
      <w:tblPr>
        <w:tblStyle w:val="14"/>
        <w:tblW w:w="0" w:type="auto"/>
        <w:tblInd w:w="14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40"/>
        <w:gridCol w:w="1782"/>
        <w:gridCol w:w="2451"/>
        <w:gridCol w:w="2107"/>
      </w:tblGrid>
      <w:tr w14:paraId="421E7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04" w:hRule="atLeast"/>
        </w:trPr>
        <w:tc>
          <w:tcPr>
            <w:tcW w:w="1940" w:type="dxa"/>
            <w:tcBorders>
              <w:top w:val="single" w:color="000000" w:sz="4" w:space="0"/>
              <w:left w:val="single" w:color="000000" w:sz="4" w:space="0"/>
              <w:bottom w:val="single" w:color="auto" w:sz="4" w:space="0"/>
              <w:right w:val="single" w:color="000000" w:sz="4" w:space="0"/>
            </w:tcBorders>
            <w:shd w:val="clear" w:color="auto" w:fill="D7D7D7" w:themeFill="background1" w:themeFillShade="D8"/>
            <w:vAlign w:val="center"/>
          </w:tcPr>
          <w:p w14:paraId="475D4E47">
            <w:pPr>
              <w:pStyle w:val="19"/>
              <w:bidi w:val="0"/>
              <w:jc w:val="center"/>
              <w:rPr>
                <w:rFonts w:hint="eastAsia"/>
                <w:highlight w:val="none"/>
              </w:rPr>
            </w:pPr>
            <w:r>
              <w:rPr>
                <w:rFonts w:hint="eastAsia"/>
                <w:highlight w:val="none"/>
                <w:lang w:val="en-US" w:eastAsia="zh-CN"/>
              </w:rPr>
              <w:t>一级指标</w:t>
            </w:r>
          </w:p>
        </w:tc>
        <w:tc>
          <w:tcPr>
            <w:tcW w:w="1782" w:type="dxa"/>
            <w:tcBorders>
              <w:top w:val="single" w:color="000000" w:sz="4" w:space="0"/>
              <w:left w:val="single" w:color="000000" w:sz="4" w:space="0"/>
              <w:bottom w:val="single" w:color="auto" w:sz="4" w:space="0"/>
              <w:right w:val="single" w:color="000000" w:sz="4" w:space="0"/>
            </w:tcBorders>
            <w:shd w:val="clear" w:color="auto" w:fill="D7D7D7" w:themeFill="background1" w:themeFillShade="D8"/>
            <w:vAlign w:val="center"/>
          </w:tcPr>
          <w:p w14:paraId="0BC4A567">
            <w:pPr>
              <w:pStyle w:val="19"/>
              <w:bidi w:val="0"/>
              <w:jc w:val="center"/>
              <w:rPr>
                <w:rFonts w:hint="eastAsia"/>
                <w:highlight w:val="none"/>
              </w:rPr>
            </w:pPr>
            <w:r>
              <w:rPr>
                <w:rFonts w:hint="eastAsia"/>
                <w:highlight w:val="none"/>
                <w:lang w:val="en-US" w:eastAsia="zh-CN"/>
              </w:rPr>
              <w:t>二级指标</w:t>
            </w:r>
          </w:p>
        </w:tc>
        <w:tc>
          <w:tcPr>
            <w:tcW w:w="2451" w:type="dxa"/>
            <w:tcBorders>
              <w:top w:val="single" w:color="000000" w:sz="4" w:space="0"/>
              <w:left w:val="single" w:color="000000" w:sz="4" w:space="0"/>
              <w:bottom w:val="single" w:color="auto" w:sz="4" w:space="0"/>
              <w:right w:val="single" w:color="000000" w:sz="4" w:space="0"/>
            </w:tcBorders>
            <w:shd w:val="clear" w:color="auto" w:fill="D7D7D7" w:themeFill="background1" w:themeFillShade="D8"/>
            <w:vAlign w:val="center"/>
          </w:tcPr>
          <w:p w14:paraId="55FCA0AA">
            <w:pPr>
              <w:pStyle w:val="19"/>
              <w:bidi w:val="0"/>
              <w:jc w:val="center"/>
              <w:rPr>
                <w:rFonts w:hint="eastAsia"/>
                <w:highlight w:val="none"/>
              </w:rPr>
            </w:pPr>
            <w:r>
              <w:rPr>
                <w:rFonts w:hint="eastAsia"/>
                <w:highlight w:val="none"/>
                <w:lang w:val="en-US" w:eastAsia="zh-CN"/>
              </w:rPr>
              <w:t>三级指标</w:t>
            </w:r>
          </w:p>
        </w:tc>
        <w:tc>
          <w:tcPr>
            <w:tcW w:w="2107" w:type="dxa"/>
            <w:tcBorders>
              <w:top w:val="single" w:color="000000" w:sz="4" w:space="0"/>
              <w:left w:val="single" w:color="000000" w:sz="4" w:space="0"/>
              <w:bottom w:val="single" w:color="auto" w:sz="4" w:space="0"/>
              <w:right w:val="single" w:color="000000" w:sz="4" w:space="0"/>
            </w:tcBorders>
            <w:shd w:val="clear" w:color="auto" w:fill="D7D7D7" w:themeFill="background1" w:themeFillShade="D8"/>
            <w:vAlign w:val="center"/>
          </w:tcPr>
          <w:p w14:paraId="2D6555C3">
            <w:pPr>
              <w:pStyle w:val="19"/>
              <w:bidi w:val="0"/>
              <w:jc w:val="center"/>
              <w:rPr>
                <w:rFonts w:hint="eastAsia"/>
                <w:highlight w:val="none"/>
              </w:rPr>
            </w:pPr>
            <w:r>
              <w:rPr>
                <w:rFonts w:hint="eastAsia"/>
                <w:highlight w:val="none"/>
                <w:lang w:val="en-US" w:eastAsia="zh-CN"/>
              </w:rPr>
              <w:t>指标值</w:t>
            </w:r>
          </w:p>
        </w:tc>
      </w:tr>
      <w:tr w14:paraId="23E70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1940" w:type="dxa"/>
            <w:vMerge w:val="restart"/>
            <w:tcBorders>
              <w:top w:val="single" w:color="auto" w:sz="4" w:space="0"/>
              <w:left w:val="single" w:color="auto" w:sz="4" w:space="0"/>
              <w:right w:val="single" w:color="000000" w:sz="4" w:space="0"/>
            </w:tcBorders>
            <w:shd w:val="clear" w:color="auto" w:fill="auto"/>
            <w:vAlign w:val="center"/>
          </w:tcPr>
          <w:p w14:paraId="6E188C24">
            <w:pPr>
              <w:pStyle w:val="19"/>
              <w:bidi w:val="0"/>
              <w:jc w:val="center"/>
              <w:rPr>
                <w:rFonts w:hint="eastAsia"/>
                <w:highlight w:val="none"/>
              </w:rPr>
            </w:pPr>
            <w:r>
              <w:rPr>
                <w:rFonts w:hint="eastAsia"/>
                <w:highlight w:val="none"/>
                <w:lang w:val="en-US" w:eastAsia="zh-CN"/>
              </w:rPr>
              <w:t>项目产出</w:t>
            </w:r>
          </w:p>
        </w:tc>
        <w:tc>
          <w:tcPr>
            <w:tcW w:w="1782" w:type="dxa"/>
            <w:tcBorders>
              <w:top w:val="single" w:color="auto" w:sz="4" w:space="0"/>
              <w:left w:val="single" w:color="000000" w:sz="4" w:space="0"/>
              <w:bottom w:val="single" w:color="000000" w:sz="4" w:space="0"/>
              <w:right w:val="single" w:color="000000" w:sz="4" w:space="0"/>
            </w:tcBorders>
            <w:shd w:val="clear" w:color="auto" w:fill="auto"/>
            <w:vAlign w:val="center"/>
          </w:tcPr>
          <w:p w14:paraId="55BCBE5F">
            <w:pPr>
              <w:pStyle w:val="19"/>
              <w:bidi w:val="0"/>
              <w:jc w:val="center"/>
              <w:rPr>
                <w:rFonts w:hint="eastAsia"/>
                <w:highlight w:val="none"/>
              </w:rPr>
            </w:pPr>
            <w:r>
              <w:rPr>
                <w:rFonts w:hint="eastAsia"/>
                <w:highlight w:val="none"/>
                <w:lang w:val="en-US" w:eastAsia="zh-CN"/>
              </w:rPr>
              <w:t>数量指标</w:t>
            </w:r>
          </w:p>
        </w:tc>
        <w:tc>
          <w:tcPr>
            <w:tcW w:w="2451" w:type="dxa"/>
            <w:tcBorders>
              <w:top w:val="single" w:color="auto" w:sz="4" w:space="0"/>
              <w:left w:val="single" w:color="000000" w:sz="4" w:space="0"/>
              <w:bottom w:val="single" w:color="000000" w:sz="4" w:space="0"/>
              <w:right w:val="single" w:color="auto" w:sz="4" w:space="0"/>
            </w:tcBorders>
            <w:shd w:val="clear" w:color="auto" w:fill="auto"/>
            <w:vAlign w:val="center"/>
          </w:tcPr>
          <w:p w14:paraId="6FF532FC">
            <w:pPr>
              <w:pStyle w:val="19"/>
              <w:bidi w:val="0"/>
              <w:jc w:val="center"/>
              <w:rPr>
                <w:rFonts w:hint="eastAsia"/>
                <w:highlight w:val="none"/>
              </w:rPr>
            </w:pPr>
            <w:r>
              <w:rPr>
                <w:rFonts w:hint="eastAsia"/>
                <w:highlight w:val="none"/>
                <w:lang w:val="en-US" w:eastAsia="zh-CN"/>
              </w:rPr>
              <w:t>购置设备数量</w:t>
            </w:r>
          </w:p>
        </w:tc>
        <w:tc>
          <w:tcPr>
            <w:tcW w:w="2107" w:type="dxa"/>
            <w:tcBorders>
              <w:top w:val="single" w:color="auto" w:sz="4" w:space="0"/>
              <w:left w:val="single" w:color="auto" w:sz="4" w:space="0"/>
              <w:bottom w:val="single" w:color="000000" w:sz="4" w:space="0"/>
              <w:right w:val="single" w:color="auto" w:sz="4" w:space="0"/>
            </w:tcBorders>
            <w:shd w:val="clear" w:color="auto" w:fill="auto"/>
            <w:vAlign w:val="center"/>
          </w:tcPr>
          <w:p w14:paraId="42AAAFB0">
            <w:pPr>
              <w:pStyle w:val="19"/>
              <w:bidi w:val="0"/>
              <w:jc w:val="center"/>
              <w:rPr>
                <w:rFonts w:hint="eastAsia"/>
                <w:highlight w:val="none"/>
              </w:rPr>
            </w:pPr>
            <w:r>
              <w:rPr>
                <w:rFonts w:hint="eastAsia"/>
                <w:highlight w:val="none"/>
                <w:lang w:val="en-US" w:eastAsia="zh-CN"/>
              </w:rPr>
              <w:t>≥26台</w:t>
            </w:r>
          </w:p>
        </w:tc>
      </w:tr>
      <w:tr w14:paraId="06B8D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1940" w:type="dxa"/>
            <w:vMerge w:val="continue"/>
            <w:tcBorders>
              <w:left w:val="single" w:color="auto" w:sz="4" w:space="0"/>
              <w:right w:val="single" w:color="000000" w:sz="4" w:space="0"/>
            </w:tcBorders>
            <w:shd w:val="clear" w:color="auto" w:fill="auto"/>
            <w:vAlign w:val="center"/>
          </w:tcPr>
          <w:p w14:paraId="01A2B377">
            <w:pPr>
              <w:pStyle w:val="19"/>
              <w:bidi w:val="0"/>
              <w:jc w:val="center"/>
              <w:rPr>
                <w:rFonts w:hint="eastAsia"/>
                <w:highlight w:val="none"/>
              </w:rPr>
            </w:pPr>
          </w:p>
        </w:tc>
        <w:tc>
          <w:tcPr>
            <w:tcW w:w="1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DEF039">
            <w:pPr>
              <w:pStyle w:val="19"/>
              <w:bidi w:val="0"/>
              <w:jc w:val="center"/>
              <w:rPr>
                <w:rFonts w:hint="eastAsia"/>
                <w:highlight w:val="none"/>
              </w:rPr>
            </w:pPr>
            <w:r>
              <w:rPr>
                <w:rFonts w:hint="eastAsia"/>
                <w:highlight w:val="none"/>
                <w:lang w:val="en-US" w:eastAsia="zh-CN"/>
              </w:rPr>
              <w:t>质量指标</w:t>
            </w:r>
          </w:p>
        </w:tc>
        <w:tc>
          <w:tcPr>
            <w:tcW w:w="2451" w:type="dxa"/>
            <w:tcBorders>
              <w:top w:val="single" w:color="000000" w:sz="4" w:space="0"/>
              <w:left w:val="single" w:color="000000" w:sz="4" w:space="0"/>
              <w:bottom w:val="single" w:color="000000" w:sz="4" w:space="0"/>
              <w:right w:val="single" w:color="auto" w:sz="4" w:space="0"/>
            </w:tcBorders>
            <w:shd w:val="clear" w:color="auto" w:fill="auto"/>
            <w:vAlign w:val="center"/>
          </w:tcPr>
          <w:p w14:paraId="575840B9">
            <w:pPr>
              <w:pStyle w:val="19"/>
              <w:bidi w:val="0"/>
              <w:jc w:val="center"/>
              <w:rPr>
                <w:rFonts w:hint="eastAsia"/>
                <w:highlight w:val="none"/>
              </w:rPr>
            </w:pPr>
            <w:r>
              <w:rPr>
                <w:rFonts w:hint="eastAsia"/>
                <w:highlight w:val="none"/>
                <w:lang w:val="en-US" w:eastAsia="zh-CN"/>
              </w:rPr>
              <w:t>项目验收合格率</w:t>
            </w:r>
          </w:p>
        </w:tc>
        <w:tc>
          <w:tcPr>
            <w:tcW w:w="2107" w:type="dxa"/>
            <w:tcBorders>
              <w:top w:val="single" w:color="000000" w:sz="4" w:space="0"/>
              <w:left w:val="single" w:color="auto" w:sz="4" w:space="0"/>
              <w:bottom w:val="single" w:color="000000" w:sz="4" w:space="0"/>
              <w:right w:val="single" w:color="auto" w:sz="4" w:space="0"/>
            </w:tcBorders>
            <w:shd w:val="clear" w:color="auto" w:fill="auto"/>
            <w:vAlign w:val="center"/>
          </w:tcPr>
          <w:p w14:paraId="7E329468">
            <w:pPr>
              <w:pStyle w:val="19"/>
              <w:bidi w:val="0"/>
              <w:jc w:val="center"/>
              <w:rPr>
                <w:rFonts w:hint="eastAsia"/>
                <w:highlight w:val="none"/>
              </w:rPr>
            </w:pPr>
            <w:r>
              <w:rPr>
                <w:rFonts w:hint="eastAsia"/>
                <w:highlight w:val="none"/>
                <w:lang w:val="en-US" w:eastAsia="zh-CN"/>
              </w:rPr>
              <w:t>=100%</w:t>
            </w:r>
          </w:p>
        </w:tc>
      </w:tr>
      <w:tr w14:paraId="56FE1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1940" w:type="dxa"/>
            <w:vMerge w:val="continue"/>
            <w:tcBorders>
              <w:left w:val="single" w:color="auto" w:sz="4" w:space="0"/>
              <w:right w:val="single" w:color="000000" w:sz="4" w:space="0"/>
            </w:tcBorders>
            <w:shd w:val="clear" w:color="auto" w:fill="auto"/>
            <w:vAlign w:val="center"/>
          </w:tcPr>
          <w:p w14:paraId="79F2906E">
            <w:pPr>
              <w:pStyle w:val="19"/>
              <w:bidi w:val="0"/>
              <w:jc w:val="center"/>
              <w:rPr>
                <w:rFonts w:hint="eastAsia"/>
                <w:highlight w:val="none"/>
              </w:rPr>
            </w:pPr>
          </w:p>
        </w:tc>
        <w:tc>
          <w:tcPr>
            <w:tcW w:w="1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0E437">
            <w:pPr>
              <w:pStyle w:val="19"/>
              <w:bidi w:val="0"/>
              <w:jc w:val="center"/>
              <w:rPr>
                <w:rFonts w:hint="eastAsia"/>
                <w:highlight w:val="none"/>
              </w:rPr>
            </w:pPr>
          </w:p>
        </w:tc>
        <w:tc>
          <w:tcPr>
            <w:tcW w:w="2451" w:type="dxa"/>
            <w:tcBorders>
              <w:top w:val="single" w:color="000000" w:sz="4" w:space="0"/>
              <w:left w:val="single" w:color="000000" w:sz="4" w:space="0"/>
              <w:bottom w:val="single" w:color="000000" w:sz="4" w:space="0"/>
              <w:right w:val="single" w:color="auto" w:sz="4" w:space="0"/>
            </w:tcBorders>
            <w:shd w:val="clear" w:color="auto" w:fill="auto"/>
            <w:vAlign w:val="center"/>
          </w:tcPr>
          <w:p w14:paraId="00C15967">
            <w:pPr>
              <w:pStyle w:val="19"/>
              <w:bidi w:val="0"/>
              <w:jc w:val="center"/>
              <w:rPr>
                <w:rFonts w:hint="eastAsia"/>
                <w:highlight w:val="none"/>
              </w:rPr>
            </w:pPr>
            <w:r>
              <w:rPr>
                <w:rFonts w:hint="eastAsia"/>
                <w:highlight w:val="none"/>
                <w:lang w:val="en-US" w:eastAsia="zh-CN"/>
              </w:rPr>
              <w:t>政府采购率</w:t>
            </w:r>
          </w:p>
        </w:tc>
        <w:tc>
          <w:tcPr>
            <w:tcW w:w="2107" w:type="dxa"/>
            <w:tcBorders>
              <w:top w:val="single" w:color="000000" w:sz="4" w:space="0"/>
              <w:left w:val="single" w:color="auto" w:sz="4" w:space="0"/>
              <w:bottom w:val="single" w:color="000000" w:sz="4" w:space="0"/>
              <w:right w:val="single" w:color="auto" w:sz="4" w:space="0"/>
            </w:tcBorders>
            <w:shd w:val="clear" w:color="auto" w:fill="auto"/>
            <w:vAlign w:val="center"/>
          </w:tcPr>
          <w:p w14:paraId="4C4946A1">
            <w:pPr>
              <w:pStyle w:val="19"/>
              <w:bidi w:val="0"/>
              <w:jc w:val="center"/>
              <w:rPr>
                <w:rFonts w:hint="eastAsia"/>
                <w:highlight w:val="none"/>
              </w:rPr>
            </w:pPr>
            <w:r>
              <w:rPr>
                <w:rFonts w:hint="eastAsia"/>
                <w:highlight w:val="none"/>
                <w:lang w:val="en-US" w:eastAsia="zh-CN"/>
              </w:rPr>
              <w:t>=100%</w:t>
            </w:r>
          </w:p>
        </w:tc>
      </w:tr>
      <w:tr w14:paraId="6340C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1940" w:type="dxa"/>
            <w:vMerge w:val="continue"/>
            <w:tcBorders>
              <w:left w:val="single" w:color="auto" w:sz="4" w:space="0"/>
              <w:bottom w:val="single" w:color="auto" w:sz="4" w:space="0"/>
              <w:right w:val="single" w:color="000000" w:sz="4" w:space="0"/>
            </w:tcBorders>
            <w:shd w:val="clear" w:color="auto" w:fill="auto"/>
            <w:vAlign w:val="center"/>
          </w:tcPr>
          <w:p w14:paraId="11E95B31">
            <w:pPr>
              <w:pStyle w:val="19"/>
              <w:bidi w:val="0"/>
              <w:jc w:val="center"/>
              <w:rPr>
                <w:rFonts w:hint="eastAsia"/>
                <w:highlight w:val="none"/>
              </w:rPr>
            </w:pPr>
          </w:p>
        </w:tc>
        <w:tc>
          <w:tcPr>
            <w:tcW w:w="1782"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7EEEB64F">
            <w:pPr>
              <w:pStyle w:val="19"/>
              <w:bidi w:val="0"/>
              <w:jc w:val="center"/>
              <w:rPr>
                <w:rFonts w:hint="eastAsia"/>
                <w:highlight w:val="none"/>
              </w:rPr>
            </w:pPr>
          </w:p>
        </w:tc>
        <w:tc>
          <w:tcPr>
            <w:tcW w:w="2451" w:type="dxa"/>
            <w:tcBorders>
              <w:top w:val="single" w:color="000000" w:sz="4" w:space="0"/>
              <w:left w:val="single" w:color="000000" w:sz="4" w:space="0"/>
              <w:bottom w:val="single" w:color="auto" w:sz="4" w:space="0"/>
              <w:right w:val="single" w:color="auto" w:sz="4" w:space="0"/>
            </w:tcBorders>
            <w:shd w:val="clear" w:color="auto" w:fill="auto"/>
            <w:vAlign w:val="center"/>
          </w:tcPr>
          <w:p w14:paraId="6060B3F3">
            <w:pPr>
              <w:pStyle w:val="19"/>
              <w:bidi w:val="0"/>
              <w:jc w:val="center"/>
              <w:rPr>
                <w:rFonts w:hint="eastAsia"/>
                <w:highlight w:val="none"/>
              </w:rPr>
            </w:pPr>
            <w:r>
              <w:rPr>
                <w:rFonts w:hint="eastAsia"/>
                <w:highlight w:val="none"/>
                <w:lang w:val="en-US" w:eastAsia="zh-CN"/>
              </w:rPr>
              <w:t>设备质量合格率</w:t>
            </w:r>
          </w:p>
        </w:tc>
        <w:tc>
          <w:tcPr>
            <w:tcW w:w="2107" w:type="dxa"/>
            <w:tcBorders>
              <w:top w:val="single" w:color="000000" w:sz="4" w:space="0"/>
              <w:left w:val="single" w:color="auto" w:sz="4" w:space="0"/>
              <w:bottom w:val="single" w:color="auto" w:sz="4" w:space="0"/>
              <w:right w:val="single" w:color="auto" w:sz="4" w:space="0"/>
            </w:tcBorders>
            <w:shd w:val="clear" w:color="auto" w:fill="auto"/>
            <w:vAlign w:val="center"/>
          </w:tcPr>
          <w:p w14:paraId="0B6C1575">
            <w:pPr>
              <w:pStyle w:val="19"/>
              <w:bidi w:val="0"/>
              <w:jc w:val="center"/>
              <w:rPr>
                <w:rFonts w:hint="eastAsia"/>
                <w:highlight w:val="none"/>
              </w:rPr>
            </w:pPr>
            <w:r>
              <w:rPr>
                <w:rFonts w:hint="eastAsia"/>
                <w:highlight w:val="none"/>
                <w:lang w:val="en-US" w:eastAsia="zh-CN"/>
              </w:rPr>
              <w:t>=100%</w:t>
            </w:r>
          </w:p>
        </w:tc>
      </w:tr>
      <w:tr w14:paraId="0A4DD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194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672DA50D">
            <w:pPr>
              <w:pStyle w:val="19"/>
              <w:bidi w:val="0"/>
              <w:jc w:val="center"/>
              <w:rPr>
                <w:rFonts w:hint="eastAsia"/>
                <w:highlight w:val="none"/>
              </w:rPr>
            </w:pPr>
          </w:p>
        </w:tc>
        <w:tc>
          <w:tcPr>
            <w:tcW w:w="1782" w:type="dxa"/>
            <w:tcBorders>
              <w:top w:val="single" w:color="auto" w:sz="4" w:space="0"/>
              <w:left w:val="single" w:color="000000" w:sz="4" w:space="0"/>
              <w:bottom w:val="single" w:color="auto" w:sz="4" w:space="0"/>
              <w:right w:val="single" w:color="000000" w:sz="4" w:space="0"/>
            </w:tcBorders>
            <w:shd w:val="clear" w:color="auto" w:fill="auto"/>
            <w:vAlign w:val="center"/>
          </w:tcPr>
          <w:p w14:paraId="3C629BA7">
            <w:pPr>
              <w:pStyle w:val="19"/>
              <w:bidi w:val="0"/>
              <w:jc w:val="center"/>
              <w:rPr>
                <w:rFonts w:hint="eastAsia"/>
                <w:highlight w:val="none"/>
              </w:rPr>
            </w:pPr>
            <w:r>
              <w:rPr>
                <w:rFonts w:hint="eastAsia"/>
                <w:highlight w:val="none"/>
                <w:lang w:val="en-US" w:eastAsia="zh-CN"/>
              </w:rPr>
              <w:t>时效指标</w:t>
            </w:r>
          </w:p>
        </w:tc>
        <w:tc>
          <w:tcPr>
            <w:tcW w:w="2451" w:type="dxa"/>
            <w:tcBorders>
              <w:top w:val="single" w:color="auto" w:sz="4" w:space="0"/>
              <w:left w:val="single" w:color="000000" w:sz="4" w:space="0"/>
              <w:bottom w:val="single" w:color="auto" w:sz="4" w:space="0"/>
              <w:right w:val="single" w:color="auto" w:sz="4" w:space="0"/>
            </w:tcBorders>
            <w:shd w:val="clear" w:color="auto" w:fill="auto"/>
            <w:vAlign w:val="center"/>
          </w:tcPr>
          <w:p w14:paraId="3FAF2944">
            <w:pPr>
              <w:pStyle w:val="19"/>
              <w:bidi w:val="0"/>
              <w:jc w:val="center"/>
              <w:rPr>
                <w:rFonts w:hint="eastAsia"/>
                <w:highlight w:val="none"/>
              </w:rPr>
            </w:pPr>
            <w:r>
              <w:rPr>
                <w:rFonts w:hint="eastAsia"/>
                <w:highlight w:val="none"/>
                <w:lang w:val="en-US" w:eastAsia="zh-CN"/>
              </w:rPr>
              <w:t>设备采购完成时间</w:t>
            </w:r>
          </w:p>
        </w:tc>
        <w:tc>
          <w:tcPr>
            <w:tcW w:w="2107" w:type="dxa"/>
            <w:tcBorders>
              <w:top w:val="single" w:color="auto" w:sz="4" w:space="0"/>
              <w:left w:val="single" w:color="auto" w:sz="4" w:space="0"/>
              <w:bottom w:val="single" w:color="000000" w:sz="4" w:space="0"/>
              <w:right w:val="single" w:color="000000" w:sz="4" w:space="0"/>
            </w:tcBorders>
            <w:shd w:val="clear" w:color="auto" w:fill="auto"/>
            <w:vAlign w:val="center"/>
          </w:tcPr>
          <w:p w14:paraId="750159A4">
            <w:pPr>
              <w:pStyle w:val="19"/>
              <w:bidi w:val="0"/>
              <w:jc w:val="center"/>
              <w:rPr>
                <w:rFonts w:hint="eastAsia"/>
                <w:highlight w:val="none"/>
              </w:rPr>
            </w:pPr>
            <w:r>
              <w:rPr>
                <w:rFonts w:hint="eastAsia"/>
                <w:highlight w:val="none"/>
                <w:lang w:val="en-US" w:eastAsia="zh-CN"/>
              </w:rPr>
              <w:t>2025年2月1日</w:t>
            </w:r>
          </w:p>
        </w:tc>
      </w:tr>
      <w:tr w14:paraId="71D91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1940"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34F51D79">
            <w:pPr>
              <w:pStyle w:val="19"/>
              <w:bidi w:val="0"/>
              <w:jc w:val="center"/>
              <w:rPr>
                <w:rFonts w:hint="eastAsia"/>
                <w:highlight w:val="none"/>
              </w:rPr>
            </w:pPr>
          </w:p>
        </w:tc>
        <w:tc>
          <w:tcPr>
            <w:tcW w:w="1782" w:type="dxa"/>
            <w:tcBorders>
              <w:top w:val="single" w:color="auto" w:sz="4" w:space="0"/>
              <w:left w:val="single" w:color="000000" w:sz="4" w:space="0"/>
              <w:bottom w:val="single" w:color="000000" w:sz="4" w:space="0"/>
              <w:right w:val="single" w:color="000000" w:sz="4" w:space="0"/>
            </w:tcBorders>
            <w:shd w:val="clear" w:color="auto" w:fill="auto"/>
            <w:vAlign w:val="center"/>
          </w:tcPr>
          <w:p w14:paraId="1755E5F0">
            <w:pPr>
              <w:pStyle w:val="19"/>
              <w:bidi w:val="0"/>
              <w:jc w:val="center"/>
              <w:rPr>
                <w:rFonts w:hint="eastAsia"/>
                <w:highlight w:val="none"/>
              </w:rPr>
            </w:pPr>
            <w:r>
              <w:rPr>
                <w:rFonts w:hint="eastAsia"/>
                <w:highlight w:val="none"/>
                <w:lang w:val="en-US" w:eastAsia="zh-CN"/>
              </w:rPr>
              <w:t>成本指标</w:t>
            </w:r>
          </w:p>
        </w:tc>
        <w:tc>
          <w:tcPr>
            <w:tcW w:w="2451" w:type="dxa"/>
            <w:tcBorders>
              <w:top w:val="single" w:color="auto" w:sz="4" w:space="0"/>
              <w:left w:val="single" w:color="000000" w:sz="4" w:space="0"/>
              <w:bottom w:val="single" w:color="000000" w:sz="4" w:space="0"/>
              <w:right w:val="single" w:color="000000" w:sz="4" w:space="0"/>
            </w:tcBorders>
            <w:shd w:val="clear" w:color="auto" w:fill="auto"/>
            <w:vAlign w:val="center"/>
          </w:tcPr>
          <w:p w14:paraId="3D158FC9">
            <w:pPr>
              <w:pStyle w:val="19"/>
              <w:bidi w:val="0"/>
              <w:jc w:val="center"/>
              <w:rPr>
                <w:rFonts w:hint="eastAsia"/>
                <w:highlight w:val="none"/>
              </w:rPr>
            </w:pPr>
            <w:r>
              <w:rPr>
                <w:rFonts w:hint="eastAsia"/>
                <w:highlight w:val="none"/>
                <w:lang w:val="en-US" w:eastAsia="zh-CN"/>
              </w:rPr>
              <w:t>设备采购成本购置数</w:t>
            </w:r>
          </w:p>
        </w:tc>
        <w:tc>
          <w:tcPr>
            <w:tcW w:w="2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A1F64">
            <w:pPr>
              <w:pStyle w:val="19"/>
              <w:bidi w:val="0"/>
              <w:jc w:val="center"/>
              <w:rPr>
                <w:rFonts w:hint="eastAsia"/>
                <w:highlight w:val="none"/>
              </w:rPr>
            </w:pPr>
            <w:r>
              <w:rPr>
                <w:rFonts w:hint="eastAsia"/>
                <w:highlight w:val="none"/>
                <w:lang w:val="en-US" w:eastAsia="zh-CN"/>
              </w:rPr>
              <w:t>≤35万元/台</w:t>
            </w:r>
          </w:p>
        </w:tc>
      </w:tr>
      <w:tr w14:paraId="46CC2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1940" w:type="dxa"/>
            <w:vMerge w:val="restart"/>
            <w:tcBorders>
              <w:top w:val="single" w:color="000000" w:sz="4" w:space="0"/>
              <w:left w:val="single" w:color="000000" w:sz="4" w:space="0"/>
              <w:right w:val="single" w:color="000000" w:sz="4" w:space="0"/>
            </w:tcBorders>
            <w:shd w:val="clear" w:color="auto" w:fill="auto"/>
            <w:vAlign w:val="center"/>
          </w:tcPr>
          <w:p w14:paraId="4F0120F4">
            <w:pPr>
              <w:pStyle w:val="19"/>
              <w:bidi w:val="0"/>
              <w:jc w:val="center"/>
              <w:rPr>
                <w:rFonts w:hint="eastAsia"/>
                <w:highlight w:val="none"/>
              </w:rPr>
            </w:pPr>
            <w:r>
              <w:rPr>
                <w:rFonts w:hint="eastAsia"/>
                <w:highlight w:val="none"/>
                <w:lang w:val="en-US" w:eastAsia="zh-CN"/>
              </w:rPr>
              <w:t>项目效益</w:t>
            </w:r>
          </w:p>
        </w:tc>
        <w:tc>
          <w:tcPr>
            <w:tcW w:w="1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077A0">
            <w:pPr>
              <w:pStyle w:val="19"/>
              <w:bidi w:val="0"/>
              <w:jc w:val="center"/>
              <w:rPr>
                <w:rFonts w:hint="eastAsia"/>
                <w:highlight w:val="none"/>
              </w:rPr>
            </w:pPr>
            <w:r>
              <w:rPr>
                <w:rFonts w:hint="eastAsia"/>
                <w:highlight w:val="none"/>
                <w:lang w:val="en-US" w:eastAsia="zh-CN"/>
              </w:rPr>
              <w:t>经济效益</w:t>
            </w:r>
          </w:p>
        </w:tc>
        <w:tc>
          <w:tcPr>
            <w:tcW w:w="2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8EDA2">
            <w:pPr>
              <w:pStyle w:val="19"/>
              <w:bidi w:val="0"/>
              <w:jc w:val="center"/>
              <w:rPr>
                <w:rFonts w:hint="eastAsia"/>
                <w:highlight w:val="none"/>
              </w:rPr>
            </w:pPr>
            <w:r>
              <w:rPr>
                <w:rFonts w:hint="eastAsia"/>
                <w:highlight w:val="none"/>
                <w:lang w:val="en-US" w:eastAsia="zh-CN"/>
              </w:rPr>
              <w:t>设备使用率</w:t>
            </w:r>
          </w:p>
        </w:tc>
        <w:tc>
          <w:tcPr>
            <w:tcW w:w="2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D53C3">
            <w:pPr>
              <w:pStyle w:val="19"/>
              <w:bidi w:val="0"/>
              <w:jc w:val="center"/>
              <w:rPr>
                <w:rFonts w:hint="eastAsia"/>
                <w:highlight w:val="none"/>
              </w:rPr>
            </w:pPr>
            <w:r>
              <w:rPr>
                <w:rFonts w:hint="eastAsia"/>
                <w:highlight w:val="none"/>
                <w:lang w:val="en-US" w:eastAsia="zh-CN"/>
              </w:rPr>
              <w:t>=100%</w:t>
            </w:r>
          </w:p>
        </w:tc>
      </w:tr>
      <w:tr w14:paraId="1708F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1940" w:type="dxa"/>
            <w:vMerge w:val="continue"/>
            <w:tcBorders>
              <w:left w:val="single" w:color="000000" w:sz="4" w:space="0"/>
              <w:bottom w:val="single" w:color="000000" w:sz="4" w:space="0"/>
              <w:right w:val="single" w:color="000000" w:sz="4" w:space="0"/>
            </w:tcBorders>
            <w:shd w:val="clear" w:color="auto" w:fill="auto"/>
            <w:vAlign w:val="center"/>
          </w:tcPr>
          <w:p w14:paraId="06292F11">
            <w:pPr>
              <w:pStyle w:val="19"/>
              <w:bidi w:val="0"/>
              <w:jc w:val="center"/>
              <w:rPr>
                <w:rFonts w:hint="eastAsia"/>
                <w:highlight w:val="none"/>
              </w:rPr>
            </w:pPr>
          </w:p>
        </w:tc>
        <w:tc>
          <w:tcPr>
            <w:tcW w:w="1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E46F3">
            <w:pPr>
              <w:pStyle w:val="19"/>
              <w:bidi w:val="0"/>
              <w:jc w:val="center"/>
              <w:rPr>
                <w:rFonts w:hint="eastAsia"/>
                <w:highlight w:val="none"/>
              </w:rPr>
            </w:pPr>
            <w:r>
              <w:rPr>
                <w:rFonts w:hint="eastAsia"/>
                <w:highlight w:val="none"/>
                <w:lang w:val="en-US" w:eastAsia="zh-CN"/>
              </w:rPr>
              <w:t>社会效益</w:t>
            </w:r>
          </w:p>
        </w:tc>
        <w:tc>
          <w:tcPr>
            <w:tcW w:w="2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67AEA">
            <w:pPr>
              <w:pStyle w:val="19"/>
              <w:bidi w:val="0"/>
              <w:jc w:val="center"/>
              <w:rPr>
                <w:rFonts w:hint="eastAsia"/>
                <w:highlight w:val="none"/>
              </w:rPr>
            </w:pPr>
            <w:r>
              <w:rPr>
                <w:rFonts w:hint="eastAsia"/>
                <w:highlight w:val="none"/>
                <w:lang w:val="en-US" w:eastAsia="zh-CN"/>
              </w:rPr>
              <w:t>满意度指标</w:t>
            </w:r>
          </w:p>
        </w:tc>
        <w:tc>
          <w:tcPr>
            <w:tcW w:w="2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5440A">
            <w:pPr>
              <w:pStyle w:val="19"/>
              <w:bidi w:val="0"/>
              <w:jc w:val="center"/>
              <w:rPr>
                <w:rFonts w:hint="eastAsia"/>
                <w:highlight w:val="none"/>
              </w:rPr>
            </w:pPr>
            <w:r>
              <w:rPr>
                <w:rFonts w:hint="eastAsia"/>
                <w:highlight w:val="none"/>
                <w:lang w:val="en-US" w:eastAsia="zh-CN"/>
              </w:rPr>
              <w:t>≥90%</w:t>
            </w:r>
          </w:p>
        </w:tc>
      </w:tr>
    </w:tbl>
    <w:p w14:paraId="060805D9">
      <w:pPr>
        <w:pStyle w:val="4"/>
        <w:numPr>
          <w:ilvl w:val="0"/>
          <w:numId w:val="10"/>
        </w:numPr>
        <w:bidi w:val="0"/>
        <w:rPr>
          <w:rFonts w:hint="eastAsia"/>
          <w:highlight w:val="none"/>
          <w:lang w:val="en-US" w:eastAsia="zh-CN"/>
        </w:rPr>
      </w:pPr>
      <w:bookmarkStart w:id="167" w:name="_Toc4254"/>
      <w:bookmarkStart w:id="168" w:name="_Toc25393"/>
      <w:bookmarkStart w:id="169" w:name="_Toc7984"/>
      <w:r>
        <w:rPr>
          <w:rFonts w:hint="eastAsia"/>
          <w:highlight w:val="none"/>
          <w:lang w:val="en-US" w:eastAsia="zh-CN"/>
        </w:rPr>
        <w:t>绩效评价情况分析</w:t>
      </w:r>
      <w:bookmarkEnd w:id="167"/>
      <w:bookmarkEnd w:id="168"/>
      <w:bookmarkEnd w:id="169"/>
    </w:p>
    <w:p w14:paraId="03F50129">
      <w:pPr>
        <w:pStyle w:val="5"/>
        <w:numPr>
          <w:ilvl w:val="0"/>
          <w:numId w:val="23"/>
        </w:numPr>
        <w:bidi w:val="0"/>
        <w:ind w:left="420" w:leftChars="0" w:firstLine="218" w:firstLineChars="68"/>
        <w:rPr>
          <w:rFonts w:hint="eastAsia"/>
          <w:highlight w:val="none"/>
          <w:lang w:val="en-US" w:eastAsia="zh-CN"/>
        </w:rPr>
      </w:pPr>
      <w:bookmarkStart w:id="170" w:name="_Toc19089"/>
      <w:bookmarkStart w:id="171" w:name="_Toc17487"/>
      <w:bookmarkStart w:id="172" w:name="_Toc7901"/>
      <w:r>
        <w:rPr>
          <w:rFonts w:hint="eastAsia"/>
          <w:highlight w:val="none"/>
          <w:lang w:val="en-US" w:eastAsia="zh-CN"/>
        </w:rPr>
        <w:t>决策情况分析</w:t>
      </w:r>
      <w:bookmarkEnd w:id="170"/>
      <w:bookmarkEnd w:id="171"/>
      <w:bookmarkEnd w:id="172"/>
    </w:p>
    <w:p w14:paraId="6CE6D5DB">
      <w:pPr>
        <w:bidi w:val="0"/>
        <w:rPr>
          <w:rFonts w:hint="eastAsia"/>
          <w:highlight w:val="none"/>
          <w:lang w:val="en-US" w:eastAsia="zh-CN"/>
        </w:rPr>
      </w:pPr>
      <w:r>
        <w:rPr>
          <w:rFonts w:hint="eastAsia"/>
          <w:highlight w:val="none"/>
          <w:lang w:val="en-US" w:eastAsia="zh-CN"/>
        </w:rPr>
        <w:t>项目决策类指标是从项目立项与绩效目标两个方面来对项目进行考察，对立项依据充分性、立项程序规范性、绩效目标合理性、绩效指标明确性、预算编制科学性、资金分配合理性进行分析。项目决策类指标分值 20 分，实际得分 18 分。各指标详细得分情况如下表所示：</w:t>
      </w:r>
    </w:p>
    <w:p w14:paraId="76CC853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b/>
          <w:bCs/>
          <w:sz w:val="24"/>
          <w:szCs w:val="24"/>
          <w:highlight w:val="none"/>
          <w:lang w:val="en-US" w:eastAsia="zh-CN"/>
        </w:rPr>
        <w:t>表</w:t>
      </w:r>
      <w:r>
        <w:rPr>
          <w:rFonts w:hint="eastAsia" w:cs="仿宋_GB2312"/>
          <w:b/>
          <w:bCs/>
          <w:sz w:val="24"/>
          <w:szCs w:val="24"/>
          <w:highlight w:val="none"/>
          <w:lang w:val="en-US" w:eastAsia="zh-CN"/>
        </w:rPr>
        <w:t>4</w:t>
      </w:r>
      <w:r>
        <w:rPr>
          <w:rFonts w:hint="eastAsia" w:ascii="仿宋_GB2312" w:hAnsi="仿宋_GB2312" w:eastAsia="仿宋_GB2312" w:cs="仿宋_GB2312"/>
          <w:b/>
          <w:bCs/>
          <w:sz w:val="24"/>
          <w:szCs w:val="24"/>
          <w:highlight w:val="none"/>
          <w:lang w:val="en-US" w:eastAsia="zh-CN"/>
        </w:rPr>
        <w:t>-</w:t>
      </w:r>
      <w:r>
        <w:rPr>
          <w:rFonts w:hint="eastAsia" w:cs="仿宋_GB2312"/>
          <w:b/>
          <w:bCs/>
          <w:sz w:val="24"/>
          <w:szCs w:val="24"/>
          <w:highlight w:val="none"/>
          <w:lang w:val="en-US" w:eastAsia="zh-CN"/>
        </w:rPr>
        <w:t>1 项目决策得分情况</w:t>
      </w:r>
      <w:r>
        <w:rPr>
          <w:rFonts w:hint="eastAsia" w:ascii="仿宋_GB2312" w:hAnsi="仿宋_GB2312" w:eastAsia="仿宋_GB2312" w:cs="仿宋_GB2312"/>
          <w:b/>
          <w:bCs/>
          <w:sz w:val="24"/>
          <w:szCs w:val="24"/>
          <w:highlight w:val="none"/>
          <w:lang w:val="en-US" w:eastAsia="zh-CN"/>
        </w:rPr>
        <w:t>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6"/>
        <w:gridCol w:w="1048"/>
        <w:gridCol w:w="1217"/>
        <w:gridCol w:w="1035"/>
        <w:gridCol w:w="1988"/>
        <w:gridCol w:w="900"/>
        <w:gridCol w:w="870"/>
      </w:tblGrid>
      <w:tr w14:paraId="63B5C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shd w:val="clear" w:color="auto" w:fill="D7D7D7" w:themeFill="background1" w:themeFillShade="D8"/>
            <w:vAlign w:val="center"/>
          </w:tcPr>
          <w:p w14:paraId="013E46C1">
            <w:pPr>
              <w:pStyle w:val="19"/>
              <w:bidi w:val="0"/>
              <w:jc w:val="center"/>
              <w:rPr>
                <w:rFonts w:hint="eastAsia"/>
                <w:highlight w:val="none"/>
                <w:lang w:val="en-US" w:eastAsia="zh-CN"/>
              </w:rPr>
            </w:pPr>
            <w:r>
              <w:rPr>
                <w:rFonts w:hint="eastAsia"/>
                <w:highlight w:val="none"/>
                <w:lang w:val="en-US" w:eastAsia="zh-CN"/>
              </w:rPr>
              <w:t>一级指标</w:t>
            </w:r>
          </w:p>
        </w:tc>
        <w:tc>
          <w:tcPr>
            <w:tcW w:w="1048" w:type="dxa"/>
            <w:shd w:val="clear" w:color="auto" w:fill="D7D7D7" w:themeFill="background1" w:themeFillShade="D8"/>
            <w:vAlign w:val="center"/>
          </w:tcPr>
          <w:p w14:paraId="0B1EAE93">
            <w:pPr>
              <w:pStyle w:val="19"/>
              <w:bidi w:val="0"/>
              <w:jc w:val="center"/>
              <w:rPr>
                <w:rFonts w:hint="eastAsia"/>
                <w:highlight w:val="none"/>
                <w:lang w:val="en-US" w:eastAsia="zh-CN"/>
              </w:rPr>
            </w:pPr>
            <w:r>
              <w:rPr>
                <w:rFonts w:hint="eastAsia"/>
                <w:highlight w:val="none"/>
                <w:lang w:val="en-US" w:eastAsia="zh-CN"/>
              </w:rPr>
              <w:t>分值</w:t>
            </w:r>
          </w:p>
        </w:tc>
        <w:tc>
          <w:tcPr>
            <w:tcW w:w="1217" w:type="dxa"/>
            <w:shd w:val="clear" w:color="auto" w:fill="D7D7D7" w:themeFill="background1" w:themeFillShade="D8"/>
            <w:vAlign w:val="center"/>
          </w:tcPr>
          <w:p w14:paraId="4A5D3DB8">
            <w:pPr>
              <w:pStyle w:val="19"/>
              <w:bidi w:val="0"/>
              <w:jc w:val="center"/>
              <w:rPr>
                <w:rFonts w:hint="eastAsia"/>
                <w:highlight w:val="none"/>
                <w:lang w:val="en-US" w:eastAsia="zh-CN"/>
              </w:rPr>
            </w:pPr>
            <w:r>
              <w:rPr>
                <w:rFonts w:hint="eastAsia"/>
                <w:highlight w:val="none"/>
                <w:lang w:val="en-US" w:eastAsia="zh-CN"/>
              </w:rPr>
              <w:t>二级指标</w:t>
            </w:r>
          </w:p>
        </w:tc>
        <w:tc>
          <w:tcPr>
            <w:tcW w:w="1035" w:type="dxa"/>
            <w:shd w:val="clear" w:color="auto" w:fill="D7D7D7" w:themeFill="background1" w:themeFillShade="D8"/>
            <w:vAlign w:val="center"/>
          </w:tcPr>
          <w:p w14:paraId="0F5660C5">
            <w:pPr>
              <w:pStyle w:val="19"/>
              <w:bidi w:val="0"/>
              <w:jc w:val="center"/>
              <w:rPr>
                <w:rFonts w:hint="eastAsia"/>
                <w:highlight w:val="none"/>
                <w:lang w:val="en-US" w:eastAsia="zh-CN"/>
              </w:rPr>
            </w:pPr>
            <w:r>
              <w:rPr>
                <w:rFonts w:hint="eastAsia"/>
                <w:highlight w:val="none"/>
                <w:lang w:val="en-US" w:eastAsia="zh-CN"/>
              </w:rPr>
              <w:t>分值</w:t>
            </w:r>
          </w:p>
        </w:tc>
        <w:tc>
          <w:tcPr>
            <w:tcW w:w="1988" w:type="dxa"/>
            <w:shd w:val="clear" w:color="auto" w:fill="D7D7D7" w:themeFill="background1" w:themeFillShade="D8"/>
            <w:vAlign w:val="center"/>
          </w:tcPr>
          <w:p w14:paraId="494F8B23">
            <w:pPr>
              <w:pStyle w:val="19"/>
              <w:bidi w:val="0"/>
              <w:jc w:val="center"/>
              <w:rPr>
                <w:rFonts w:hint="eastAsia"/>
                <w:highlight w:val="none"/>
                <w:lang w:val="en-US" w:eastAsia="zh-CN"/>
              </w:rPr>
            </w:pPr>
            <w:r>
              <w:rPr>
                <w:rFonts w:hint="eastAsia"/>
                <w:highlight w:val="none"/>
                <w:lang w:val="en-US" w:eastAsia="zh-CN"/>
              </w:rPr>
              <w:t>三级指标</w:t>
            </w:r>
          </w:p>
        </w:tc>
        <w:tc>
          <w:tcPr>
            <w:tcW w:w="900" w:type="dxa"/>
            <w:shd w:val="clear" w:color="auto" w:fill="D7D7D7" w:themeFill="background1" w:themeFillShade="D8"/>
            <w:vAlign w:val="center"/>
          </w:tcPr>
          <w:p w14:paraId="05F6C9E9">
            <w:pPr>
              <w:pStyle w:val="19"/>
              <w:bidi w:val="0"/>
              <w:jc w:val="center"/>
              <w:rPr>
                <w:rFonts w:hint="eastAsia"/>
                <w:highlight w:val="none"/>
                <w:lang w:val="en-US" w:eastAsia="zh-CN"/>
              </w:rPr>
            </w:pPr>
            <w:r>
              <w:rPr>
                <w:rFonts w:hint="eastAsia"/>
                <w:highlight w:val="none"/>
                <w:lang w:val="en-US" w:eastAsia="zh-CN"/>
              </w:rPr>
              <w:t>分值</w:t>
            </w:r>
          </w:p>
        </w:tc>
        <w:tc>
          <w:tcPr>
            <w:tcW w:w="870" w:type="dxa"/>
            <w:shd w:val="clear" w:color="auto" w:fill="D7D7D7" w:themeFill="background1" w:themeFillShade="D8"/>
            <w:vAlign w:val="center"/>
          </w:tcPr>
          <w:p w14:paraId="2AEAB4C8">
            <w:pPr>
              <w:pStyle w:val="19"/>
              <w:bidi w:val="0"/>
              <w:jc w:val="center"/>
              <w:rPr>
                <w:rFonts w:hint="eastAsia"/>
                <w:highlight w:val="none"/>
                <w:lang w:val="en-US" w:eastAsia="zh-CN"/>
              </w:rPr>
            </w:pPr>
            <w:r>
              <w:rPr>
                <w:rFonts w:hint="eastAsia"/>
                <w:highlight w:val="none"/>
                <w:lang w:val="en-US" w:eastAsia="zh-CN"/>
              </w:rPr>
              <w:t>得分</w:t>
            </w:r>
          </w:p>
        </w:tc>
      </w:tr>
      <w:tr w14:paraId="5D962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restart"/>
            <w:vAlign w:val="center"/>
          </w:tcPr>
          <w:p w14:paraId="47DC8B8F">
            <w:pPr>
              <w:pStyle w:val="19"/>
              <w:bidi w:val="0"/>
              <w:jc w:val="center"/>
              <w:rPr>
                <w:rFonts w:hint="eastAsia"/>
                <w:highlight w:val="none"/>
                <w:lang w:val="en-US" w:eastAsia="zh-CN"/>
              </w:rPr>
            </w:pPr>
            <w:r>
              <w:rPr>
                <w:rFonts w:hint="eastAsia"/>
                <w:highlight w:val="none"/>
                <w:lang w:val="en-US" w:eastAsia="zh-CN"/>
              </w:rPr>
              <w:t>项目决策</w:t>
            </w:r>
          </w:p>
        </w:tc>
        <w:tc>
          <w:tcPr>
            <w:tcW w:w="1048" w:type="dxa"/>
            <w:vMerge w:val="restart"/>
            <w:vAlign w:val="center"/>
          </w:tcPr>
          <w:p w14:paraId="5DF077BE">
            <w:pPr>
              <w:pStyle w:val="19"/>
              <w:bidi w:val="0"/>
              <w:jc w:val="center"/>
              <w:rPr>
                <w:rFonts w:hint="eastAsia"/>
                <w:highlight w:val="none"/>
                <w:lang w:val="en-US" w:eastAsia="zh-CN"/>
              </w:rPr>
            </w:pPr>
            <w:r>
              <w:rPr>
                <w:rFonts w:hint="eastAsia"/>
                <w:highlight w:val="none"/>
                <w:lang w:val="en-US" w:eastAsia="zh-CN"/>
              </w:rPr>
              <w:t>20</w:t>
            </w:r>
          </w:p>
        </w:tc>
        <w:tc>
          <w:tcPr>
            <w:tcW w:w="1217" w:type="dxa"/>
            <w:vMerge w:val="restart"/>
            <w:vAlign w:val="center"/>
          </w:tcPr>
          <w:p w14:paraId="6DD0D057">
            <w:pPr>
              <w:pStyle w:val="19"/>
              <w:bidi w:val="0"/>
              <w:jc w:val="center"/>
              <w:rPr>
                <w:rFonts w:hint="eastAsia"/>
                <w:highlight w:val="none"/>
                <w:lang w:val="en-US" w:eastAsia="zh-CN"/>
              </w:rPr>
            </w:pPr>
            <w:r>
              <w:rPr>
                <w:rFonts w:hint="eastAsia"/>
                <w:highlight w:val="none"/>
                <w:lang w:val="en-US" w:eastAsia="zh-CN"/>
              </w:rPr>
              <w:t>项目立项</w:t>
            </w:r>
          </w:p>
        </w:tc>
        <w:tc>
          <w:tcPr>
            <w:tcW w:w="1035" w:type="dxa"/>
            <w:vMerge w:val="restart"/>
            <w:vAlign w:val="center"/>
          </w:tcPr>
          <w:p w14:paraId="59A77843">
            <w:pPr>
              <w:pStyle w:val="19"/>
              <w:bidi w:val="0"/>
              <w:jc w:val="center"/>
              <w:rPr>
                <w:rFonts w:hint="eastAsia"/>
                <w:highlight w:val="none"/>
                <w:lang w:val="en-US" w:eastAsia="zh-CN"/>
              </w:rPr>
            </w:pPr>
            <w:r>
              <w:rPr>
                <w:rFonts w:hint="eastAsia"/>
                <w:highlight w:val="none"/>
                <w:lang w:val="en-US" w:eastAsia="zh-CN"/>
              </w:rPr>
              <w:t>14</w:t>
            </w:r>
          </w:p>
        </w:tc>
        <w:tc>
          <w:tcPr>
            <w:tcW w:w="1988" w:type="dxa"/>
            <w:vAlign w:val="center"/>
          </w:tcPr>
          <w:p w14:paraId="3F009B64">
            <w:pPr>
              <w:pStyle w:val="19"/>
              <w:bidi w:val="0"/>
              <w:jc w:val="center"/>
              <w:rPr>
                <w:rFonts w:hint="eastAsia"/>
                <w:highlight w:val="none"/>
                <w:lang w:val="en-US" w:eastAsia="zh-CN"/>
              </w:rPr>
            </w:pPr>
            <w:r>
              <w:rPr>
                <w:rFonts w:hint="eastAsia"/>
                <w:highlight w:val="none"/>
                <w:lang w:val="en-US" w:eastAsia="zh-CN"/>
              </w:rPr>
              <w:t>立项依据充分性</w:t>
            </w:r>
          </w:p>
        </w:tc>
        <w:tc>
          <w:tcPr>
            <w:tcW w:w="900" w:type="dxa"/>
            <w:vAlign w:val="center"/>
          </w:tcPr>
          <w:p w14:paraId="6C06F00C">
            <w:pPr>
              <w:pStyle w:val="19"/>
              <w:bidi w:val="0"/>
              <w:jc w:val="center"/>
              <w:rPr>
                <w:rFonts w:hint="eastAsia"/>
                <w:highlight w:val="none"/>
                <w:lang w:val="en-US" w:eastAsia="zh-CN"/>
              </w:rPr>
            </w:pPr>
            <w:r>
              <w:rPr>
                <w:rFonts w:hint="eastAsia"/>
                <w:highlight w:val="none"/>
                <w:lang w:val="en-US" w:eastAsia="zh-CN"/>
              </w:rPr>
              <w:t>4</w:t>
            </w:r>
          </w:p>
        </w:tc>
        <w:tc>
          <w:tcPr>
            <w:tcW w:w="870" w:type="dxa"/>
            <w:vAlign w:val="center"/>
          </w:tcPr>
          <w:p w14:paraId="72184D6B">
            <w:pPr>
              <w:pStyle w:val="19"/>
              <w:bidi w:val="0"/>
              <w:jc w:val="center"/>
              <w:rPr>
                <w:rFonts w:hint="eastAsia"/>
                <w:highlight w:val="none"/>
                <w:lang w:val="en-US" w:eastAsia="zh-CN"/>
              </w:rPr>
            </w:pPr>
            <w:r>
              <w:rPr>
                <w:rFonts w:hint="eastAsia"/>
                <w:highlight w:val="none"/>
                <w:lang w:val="en-US" w:eastAsia="zh-CN"/>
              </w:rPr>
              <w:t>4</w:t>
            </w:r>
          </w:p>
        </w:tc>
      </w:tr>
      <w:tr w14:paraId="759B6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vAlign w:val="center"/>
          </w:tcPr>
          <w:p w14:paraId="3FFED0E2">
            <w:pPr>
              <w:pStyle w:val="19"/>
              <w:bidi w:val="0"/>
              <w:jc w:val="center"/>
              <w:rPr>
                <w:rFonts w:hint="eastAsia"/>
                <w:highlight w:val="none"/>
                <w:lang w:val="en-US" w:eastAsia="zh-CN"/>
              </w:rPr>
            </w:pPr>
          </w:p>
        </w:tc>
        <w:tc>
          <w:tcPr>
            <w:tcW w:w="1048" w:type="dxa"/>
            <w:vMerge w:val="continue"/>
            <w:vAlign w:val="center"/>
          </w:tcPr>
          <w:p w14:paraId="4A7F6D1C">
            <w:pPr>
              <w:pStyle w:val="19"/>
              <w:bidi w:val="0"/>
              <w:jc w:val="center"/>
              <w:rPr>
                <w:rFonts w:hint="eastAsia"/>
                <w:highlight w:val="none"/>
                <w:lang w:val="en-US" w:eastAsia="zh-CN"/>
              </w:rPr>
            </w:pPr>
          </w:p>
        </w:tc>
        <w:tc>
          <w:tcPr>
            <w:tcW w:w="1217" w:type="dxa"/>
            <w:vMerge w:val="continue"/>
            <w:vAlign w:val="center"/>
          </w:tcPr>
          <w:p w14:paraId="37351E0B">
            <w:pPr>
              <w:pStyle w:val="19"/>
              <w:bidi w:val="0"/>
              <w:jc w:val="center"/>
              <w:rPr>
                <w:rFonts w:hint="eastAsia"/>
                <w:highlight w:val="none"/>
                <w:lang w:val="en-US" w:eastAsia="zh-CN"/>
              </w:rPr>
            </w:pPr>
          </w:p>
        </w:tc>
        <w:tc>
          <w:tcPr>
            <w:tcW w:w="1035" w:type="dxa"/>
            <w:vMerge w:val="continue"/>
            <w:vAlign w:val="center"/>
          </w:tcPr>
          <w:p w14:paraId="43AEA0A4">
            <w:pPr>
              <w:pStyle w:val="19"/>
              <w:bidi w:val="0"/>
              <w:jc w:val="center"/>
              <w:rPr>
                <w:rFonts w:hint="eastAsia"/>
                <w:highlight w:val="none"/>
                <w:lang w:val="en-US" w:eastAsia="zh-CN"/>
              </w:rPr>
            </w:pPr>
          </w:p>
        </w:tc>
        <w:tc>
          <w:tcPr>
            <w:tcW w:w="1988" w:type="dxa"/>
            <w:vAlign w:val="center"/>
          </w:tcPr>
          <w:p w14:paraId="562A68F6">
            <w:pPr>
              <w:pStyle w:val="19"/>
              <w:bidi w:val="0"/>
              <w:jc w:val="center"/>
              <w:rPr>
                <w:rFonts w:hint="eastAsia"/>
                <w:highlight w:val="none"/>
                <w:lang w:val="en-US" w:eastAsia="zh-CN"/>
              </w:rPr>
            </w:pPr>
            <w:r>
              <w:rPr>
                <w:rFonts w:hint="eastAsia"/>
                <w:highlight w:val="none"/>
                <w:lang w:val="en-US" w:eastAsia="zh-CN"/>
              </w:rPr>
              <w:t>立项程序规范性</w:t>
            </w:r>
          </w:p>
        </w:tc>
        <w:tc>
          <w:tcPr>
            <w:tcW w:w="900" w:type="dxa"/>
            <w:vAlign w:val="center"/>
          </w:tcPr>
          <w:p w14:paraId="5CC4B9C1">
            <w:pPr>
              <w:pStyle w:val="19"/>
              <w:bidi w:val="0"/>
              <w:jc w:val="center"/>
              <w:rPr>
                <w:rFonts w:hint="eastAsia"/>
                <w:highlight w:val="none"/>
                <w:lang w:val="en-US" w:eastAsia="zh-CN"/>
              </w:rPr>
            </w:pPr>
            <w:r>
              <w:rPr>
                <w:rFonts w:hint="eastAsia"/>
                <w:highlight w:val="none"/>
                <w:lang w:val="en-US" w:eastAsia="zh-CN"/>
              </w:rPr>
              <w:t>3</w:t>
            </w:r>
          </w:p>
        </w:tc>
        <w:tc>
          <w:tcPr>
            <w:tcW w:w="870" w:type="dxa"/>
            <w:vAlign w:val="center"/>
          </w:tcPr>
          <w:p w14:paraId="6DBD9826">
            <w:pPr>
              <w:pStyle w:val="19"/>
              <w:bidi w:val="0"/>
              <w:jc w:val="center"/>
              <w:rPr>
                <w:rFonts w:hint="eastAsia"/>
                <w:highlight w:val="none"/>
                <w:lang w:val="en-US" w:eastAsia="zh-CN"/>
              </w:rPr>
            </w:pPr>
            <w:r>
              <w:rPr>
                <w:rFonts w:hint="eastAsia"/>
                <w:highlight w:val="none"/>
                <w:lang w:val="en-US" w:eastAsia="zh-CN"/>
              </w:rPr>
              <w:t>3</w:t>
            </w:r>
          </w:p>
        </w:tc>
      </w:tr>
      <w:tr w14:paraId="63C09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vAlign w:val="center"/>
          </w:tcPr>
          <w:p w14:paraId="401B2649">
            <w:pPr>
              <w:pStyle w:val="19"/>
              <w:bidi w:val="0"/>
              <w:jc w:val="center"/>
              <w:rPr>
                <w:rFonts w:hint="eastAsia"/>
                <w:highlight w:val="none"/>
                <w:lang w:val="en-US" w:eastAsia="zh-CN"/>
              </w:rPr>
            </w:pPr>
          </w:p>
        </w:tc>
        <w:tc>
          <w:tcPr>
            <w:tcW w:w="1048" w:type="dxa"/>
            <w:vMerge w:val="continue"/>
            <w:vAlign w:val="center"/>
          </w:tcPr>
          <w:p w14:paraId="0DE46816">
            <w:pPr>
              <w:pStyle w:val="19"/>
              <w:bidi w:val="0"/>
              <w:jc w:val="center"/>
              <w:rPr>
                <w:rFonts w:hint="eastAsia"/>
                <w:highlight w:val="none"/>
                <w:lang w:val="en-US" w:eastAsia="zh-CN"/>
              </w:rPr>
            </w:pPr>
          </w:p>
        </w:tc>
        <w:tc>
          <w:tcPr>
            <w:tcW w:w="1217" w:type="dxa"/>
            <w:vMerge w:val="continue"/>
            <w:vAlign w:val="center"/>
          </w:tcPr>
          <w:p w14:paraId="5A286198">
            <w:pPr>
              <w:pStyle w:val="19"/>
              <w:bidi w:val="0"/>
              <w:jc w:val="center"/>
              <w:rPr>
                <w:rFonts w:hint="eastAsia"/>
                <w:highlight w:val="none"/>
                <w:lang w:val="en-US" w:eastAsia="zh-CN"/>
              </w:rPr>
            </w:pPr>
          </w:p>
        </w:tc>
        <w:tc>
          <w:tcPr>
            <w:tcW w:w="1035" w:type="dxa"/>
            <w:vMerge w:val="continue"/>
            <w:vAlign w:val="center"/>
          </w:tcPr>
          <w:p w14:paraId="4E09A51D">
            <w:pPr>
              <w:pStyle w:val="19"/>
              <w:bidi w:val="0"/>
              <w:jc w:val="center"/>
              <w:rPr>
                <w:rFonts w:hint="eastAsia"/>
                <w:highlight w:val="none"/>
                <w:lang w:val="en-US" w:eastAsia="zh-CN"/>
              </w:rPr>
            </w:pPr>
          </w:p>
        </w:tc>
        <w:tc>
          <w:tcPr>
            <w:tcW w:w="1988" w:type="dxa"/>
            <w:vAlign w:val="center"/>
          </w:tcPr>
          <w:p w14:paraId="7E900586">
            <w:pPr>
              <w:pStyle w:val="19"/>
              <w:bidi w:val="0"/>
              <w:jc w:val="center"/>
              <w:rPr>
                <w:rFonts w:hint="eastAsia"/>
                <w:highlight w:val="none"/>
                <w:lang w:val="en-US" w:eastAsia="zh-CN"/>
              </w:rPr>
            </w:pPr>
            <w:r>
              <w:rPr>
                <w:rFonts w:hint="eastAsia"/>
                <w:highlight w:val="none"/>
                <w:lang w:val="en-US" w:eastAsia="zh-CN"/>
              </w:rPr>
              <w:t>绩效目标合理性</w:t>
            </w:r>
          </w:p>
        </w:tc>
        <w:tc>
          <w:tcPr>
            <w:tcW w:w="900" w:type="dxa"/>
            <w:vAlign w:val="center"/>
          </w:tcPr>
          <w:p w14:paraId="0A5A1E09">
            <w:pPr>
              <w:pStyle w:val="19"/>
              <w:bidi w:val="0"/>
              <w:jc w:val="center"/>
              <w:rPr>
                <w:rFonts w:hint="eastAsia"/>
                <w:highlight w:val="none"/>
                <w:lang w:val="en-US" w:eastAsia="zh-CN"/>
              </w:rPr>
            </w:pPr>
            <w:r>
              <w:rPr>
                <w:rFonts w:hint="eastAsia"/>
                <w:highlight w:val="none"/>
                <w:lang w:val="en-US" w:eastAsia="zh-CN"/>
              </w:rPr>
              <w:t>4</w:t>
            </w:r>
          </w:p>
        </w:tc>
        <w:tc>
          <w:tcPr>
            <w:tcW w:w="870" w:type="dxa"/>
            <w:vAlign w:val="center"/>
          </w:tcPr>
          <w:p w14:paraId="42E4C9EB">
            <w:pPr>
              <w:pStyle w:val="19"/>
              <w:bidi w:val="0"/>
              <w:jc w:val="center"/>
              <w:rPr>
                <w:rFonts w:hint="eastAsia"/>
                <w:highlight w:val="none"/>
                <w:lang w:val="en-US" w:eastAsia="zh-CN"/>
              </w:rPr>
            </w:pPr>
            <w:r>
              <w:rPr>
                <w:rFonts w:hint="eastAsia"/>
                <w:highlight w:val="none"/>
                <w:lang w:val="en-US" w:eastAsia="zh-CN"/>
              </w:rPr>
              <w:t>4</w:t>
            </w:r>
          </w:p>
        </w:tc>
      </w:tr>
      <w:tr w14:paraId="0A8C1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vAlign w:val="center"/>
          </w:tcPr>
          <w:p w14:paraId="01342172">
            <w:pPr>
              <w:pStyle w:val="19"/>
              <w:bidi w:val="0"/>
              <w:jc w:val="center"/>
              <w:rPr>
                <w:rFonts w:hint="eastAsia"/>
                <w:highlight w:val="none"/>
                <w:lang w:val="en-US" w:eastAsia="zh-CN"/>
              </w:rPr>
            </w:pPr>
          </w:p>
        </w:tc>
        <w:tc>
          <w:tcPr>
            <w:tcW w:w="1048" w:type="dxa"/>
            <w:vMerge w:val="continue"/>
            <w:vAlign w:val="center"/>
          </w:tcPr>
          <w:p w14:paraId="44B35CCA">
            <w:pPr>
              <w:pStyle w:val="19"/>
              <w:bidi w:val="0"/>
              <w:jc w:val="center"/>
              <w:rPr>
                <w:rFonts w:hint="eastAsia"/>
                <w:highlight w:val="none"/>
                <w:lang w:val="en-US" w:eastAsia="zh-CN"/>
              </w:rPr>
            </w:pPr>
          </w:p>
        </w:tc>
        <w:tc>
          <w:tcPr>
            <w:tcW w:w="1217" w:type="dxa"/>
            <w:vMerge w:val="continue"/>
            <w:vAlign w:val="center"/>
          </w:tcPr>
          <w:p w14:paraId="19619501">
            <w:pPr>
              <w:pStyle w:val="19"/>
              <w:bidi w:val="0"/>
              <w:jc w:val="center"/>
              <w:rPr>
                <w:rFonts w:hint="eastAsia"/>
                <w:highlight w:val="none"/>
                <w:lang w:val="en-US" w:eastAsia="zh-CN"/>
              </w:rPr>
            </w:pPr>
          </w:p>
        </w:tc>
        <w:tc>
          <w:tcPr>
            <w:tcW w:w="1035" w:type="dxa"/>
            <w:vMerge w:val="continue"/>
            <w:vAlign w:val="center"/>
          </w:tcPr>
          <w:p w14:paraId="4DE48432">
            <w:pPr>
              <w:pStyle w:val="19"/>
              <w:bidi w:val="0"/>
              <w:jc w:val="center"/>
              <w:rPr>
                <w:rFonts w:hint="eastAsia"/>
                <w:highlight w:val="none"/>
                <w:lang w:val="en-US" w:eastAsia="zh-CN"/>
              </w:rPr>
            </w:pPr>
          </w:p>
        </w:tc>
        <w:tc>
          <w:tcPr>
            <w:tcW w:w="1988" w:type="dxa"/>
            <w:vAlign w:val="center"/>
          </w:tcPr>
          <w:p w14:paraId="384B973C">
            <w:pPr>
              <w:pStyle w:val="19"/>
              <w:bidi w:val="0"/>
              <w:jc w:val="center"/>
              <w:rPr>
                <w:rFonts w:hint="eastAsia"/>
                <w:highlight w:val="none"/>
                <w:lang w:val="en-US" w:eastAsia="zh-CN"/>
              </w:rPr>
            </w:pPr>
            <w:r>
              <w:rPr>
                <w:rFonts w:hint="eastAsia"/>
                <w:highlight w:val="none"/>
                <w:lang w:val="en-US" w:eastAsia="zh-CN"/>
              </w:rPr>
              <w:t>绩效指标明确性</w:t>
            </w:r>
          </w:p>
        </w:tc>
        <w:tc>
          <w:tcPr>
            <w:tcW w:w="900" w:type="dxa"/>
            <w:vAlign w:val="center"/>
          </w:tcPr>
          <w:p w14:paraId="0FB7569A">
            <w:pPr>
              <w:pStyle w:val="19"/>
              <w:bidi w:val="0"/>
              <w:jc w:val="center"/>
              <w:rPr>
                <w:rFonts w:hint="eastAsia"/>
                <w:highlight w:val="none"/>
                <w:lang w:val="en-US" w:eastAsia="zh-CN"/>
              </w:rPr>
            </w:pPr>
            <w:r>
              <w:rPr>
                <w:rFonts w:hint="eastAsia"/>
                <w:highlight w:val="none"/>
                <w:lang w:val="en-US" w:eastAsia="zh-CN"/>
              </w:rPr>
              <w:t>3</w:t>
            </w:r>
          </w:p>
        </w:tc>
        <w:tc>
          <w:tcPr>
            <w:tcW w:w="870" w:type="dxa"/>
            <w:vAlign w:val="center"/>
          </w:tcPr>
          <w:p w14:paraId="7DC45F91">
            <w:pPr>
              <w:pStyle w:val="19"/>
              <w:bidi w:val="0"/>
              <w:jc w:val="center"/>
              <w:rPr>
                <w:rFonts w:hint="eastAsia"/>
                <w:highlight w:val="none"/>
                <w:lang w:val="en-US" w:eastAsia="zh-CN"/>
              </w:rPr>
            </w:pPr>
            <w:r>
              <w:rPr>
                <w:rFonts w:hint="eastAsia"/>
                <w:highlight w:val="none"/>
                <w:lang w:val="en-US" w:eastAsia="zh-CN"/>
              </w:rPr>
              <w:t>1</w:t>
            </w:r>
          </w:p>
        </w:tc>
      </w:tr>
      <w:tr w14:paraId="71D56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vAlign w:val="center"/>
          </w:tcPr>
          <w:p w14:paraId="687F79DD">
            <w:pPr>
              <w:pStyle w:val="19"/>
              <w:bidi w:val="0"/>
              <w:jc w:val="center"/>
              <w:rPr>
                <w:rFonts w:hint="eastAsia"/>
                <w:highlight w:val="none"/>
                <w:lang w:val="en-US" w:eastAsia="zh-CN"/>
              </w:rPr>
            </w:pPr>
          </w:p>
        </w:tc>
        <w:tc>
          <w:tcPr>
            <w:tcW w:w="1048" w:type="dxa"/>
            <w:vMerge w:val="continue"/>
            <w:vAlign w:val="center"/>
          </w:tcPr>
          <w:p w14:paraId="04BD20CD">
            <w:pPr>
              <w:pStyle w:val="19"/>
              <w:bidi w:val="0"/>
              <w:jc w:val="center"/>
              <w:rPr>
                <w:rFonts w:hint="eastAsia"/>
                <w:highlight w:val="none"/>
                <w:lang w:val="en-US" w:eastAsia="zh-CN"/>
              </w:rPr>
            </w:pPr>
          </w:p>
        </w:tc>
        <w:tc>
          <w:tcPr>
            <w:tcW w:w="1217" w:type="dxa"/>
            <w:vMerge w:val="restart"/>
            <w:vAlign w:val="center"/>
          </w:tcPr>
          <w:p w14:paraId="4D57273C">
            <w:pPr>
              <w:pStyle w:val="19"/>
              <w:bidi w:val="0"/>
              <w:jc w:val="center"/>
              <w:rPr>
                <w:rFonts w:hint="eastAsia"/>
                <w:highlight w:val="none"/>
                <w:lang w:val="en-US" w:eastAsia="zh-CN"/>
              </w:rPr>
            </w:pPr>
            <w:r>
              <w:rPr>
                <w:rFonts w:hint="eastAsia"/>
                <w:highlight w:val="none"/>
                <w:lang w:val="en-US" w:eastAsia="zh-CN"/>
              </w:rPr>
              <w:t>绩效目标</w:t>
            </w:r>
          </w:p>
        </w:tc>
        <w:tc>
          <w:tcPr>
            <w:tcW w:w="1035" w:type="dxa"/>
            <w:vMerge w:val="restart"/>
            <w:vAlign w:val="center"/>
          </w:tcPr>
          <w:p w14:paraId="04E02655">
            <w:pPr>
              <w:pStyle w:val="19"/>
              <w:bidi w:val="0"/>
              <w:jc w:val="center"/>
              <w:rPr>
                <w:rFonts w:hint="eastAsia"/>
                <w:highlight w:val="none"/>
                <w:lang w:val="en-US" w:eastAsia="zh-CN"/>
              </w:rPr>
            </w:pPr>
            <w:r>
              <w:rPr>
                <w:rFonts w:hint="eastAsia"/>
                <w:highlight w:val="none"/>
                <w:lang w:val="en-US" w:eastAsia="zh-CN"/>
              </w:rPr>
              <w:t>6</w:t>
            </w:r>
          </w:p>
        </w:tc>
        <w:tc>
          <w:tcPr>
            <w:tcW w:w="1988" w:type="dxa"/>
            <w:vAlign w:val="center"/>
          </w:tcPr>
          <w:p w14:paraId="29C3545D">
            <w:pPr>
              <w:pStyle w:val="19"/>
              <w:bidi w:val="0"/>
              <w:jc w:val="center"/>
              <w:rPr>
                <w:rFonts w:hint="eastAsia"/>
                <w:highlight w:val="none"/>
                <w:lang w:val="en-US" w:eastAsia="zh-CN"/>
              </w:rPr>
            </w:pPr>
            <w:r>
              <w:rPr>
                <w:rFonts w:hint="eastAsia"/>
                <w:highlight w:val="none"/>
                <w:lang w:val="en-US" w:eastAsia="zh-CN"/>
              </w:rPr>
              <w:t>预算编制科学性</w:t>
            </w:r>
          </w:p>
        </w:tc>
        <w:tc>
          <w:tcPr>
            <w:tcW w:w="900" w:type="dxa"/>
            <w:vAlign w:val="center"/>
          </w:tcPr>
          <w:p w14:paraId="1739D121">
            <w:pPr>
              <w:pStyle w:val="19"/>
              <w:bidi w:val="0"/>
              <w:jc w:val="center"/>
              <w:rPr>
                <w:rFonts w:hint="eastAsia"/>
                <w:highlight w:val="none"/>
                <w:lang w:val="en-US" w:eastAsia="zh-CN"/>
              </w:rPr>
            </w:pPr>
            <w:r>
              <w:rPr>
                <w:rFonts w:hint="eastAsia"/>
                <w:highlight w:val="none"/>
                <w:lang w:val="en-US" w:eastAsia="zh-CN"/>
              </w:rPr>
              <w:t>3</w:t>
            </w:r>
          </w:p>
        </w:tc>
        <w:tc>
          <w:tcPr>
            <w:tcW w:w="870" w:type="dxa"/>
            <w:vAlign w:val="center"/>
          </w:tcPr>
          <w:p w14:paraId="07EAC8D6">
            <w:pPr>
              <w:pStyle w:val="19"/>
              <w:bidi w:val="0"/>
              <w:jc w:val="center"/>
              <w:rPr>
                <w:rFonts w:hint="eastAsia"/>
                <w:highlight w:val="none"/>
                <w:lang w:val="en-US" w:eastAsia="zh-CN"/>
              </w:rPr>
            </w:pPr>
            <w:r>
              <w:rPr>
                <w:rFonts w:hint="eastAsia"/>
                <w:highlight w:val="none"/>
                <w:lang w:val="en-US" w:eastAsia="zh-CN"/>
              </w:rPr>
              <w:t>3</w:t>
            </w:r>
          </w:p>
        </w:tc>
      </w:tr>
      <w:tr w14:paraId="27581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vAlign w:val="center"/>
          </w:tcPr>
          <w:p w14:paraId="78B6E145">
            <w:pPr>
              <w:pStyle w:val="19"/>
              <w:bidi w:val="0"/>
              <w:jc w:val="center"/>
              <w:rPr>
                <w:rFonts w:hint="eastAsia"/>
                <w:highlight w:val="none"/>
                <w:lang w:val="en-US" w:eastAsia="zh-CN"/>
              </w:rPr>
            </w:pPr>
          </w:p>
        </w:tc>
        <w:tc>
          <w:tcPr>
            <w:tcW w:w="1048" w:type="dxa"/>
            <w:vMerge w:val="continue"/>
            <w:vAlign w:val="center"/>
          </w:tcPr>
          <w:p w14:paraId="65C46707">
            <w:pPr>
              <w:pStyle w:val="19"/>
              <w:bidi w:val="0"/>
              <w:jc w:val="center"/>
              <w:rPr>
                <w:rFonts w:hint="eastAsia"/>
                <w:highlight w:val="none"/>
                <w:lang w:val="en-US" w:eastAsia="zh-CN"/>
              </w:rPr>
            </w:pPr>
          </w:p>
        </w:tc>
        <w:tc>
          <w:tcPr>
            <w:tcW w:w="1217" w:type="dxa"/>
            <w:vMerge w:val="continue"/>
            <w:vAlign w:val="center"/>
          </w:tcPr>
          <w:p w14:paraId="2CD50C25">
            <w:pPr>
              <w:pStyle w:val="19"/>
              <w:bidi w:val="0"/>
              <w:jc w:val="center"/>
              <w:rPr>
                <w:rFonts w:hint="eastAsia"/>
                <w:highlight w:val="none"/>
                <w:lang w:val="en-US" w:eastAsia="zh-CN"/>
              </w:rPr>
            </w:pPr>
          </w:p>
        </w:tc>
        <w:tc>
          <w:tcPr>
            <w:tcW w:w="1035" w:type="dxa"/>
            <w:vMerge w:val="continue"/>
            <w:vAlign w:val="center"/>
          </w:tcPr>
          <w:p w14:paraId="45C4E105">
            <w:pPr>
              <w:pStyle w:val="19"/>
              <w:bidi w:val="0"/>
              <w:jc w:val="center"/>
              <w:rPr>
                <w:rFonts w:hint="eastAsia"/>
                <w:highlight w:val="none"/>
                <w:lang w:val="en-US" w:eastAsia="zh-CN"/>
              </w:rPr>
            </w:pPr>
          </w:p>
        </w:tc>
        <w:tc>
          <w:tcPr>
            <w:tcW w:w="1988" w:type="dxa"/>
            <w:vAlign w:val="center"/>
          </w:tcPr>
          <w:p w14:paraId="4FC3B54A">
            <w:pPr>
              <w:pStyle w:val="19"/>
              <w:bidi w:val="0"/>
              <w:jc w:val="center"/>
              <w:rPr>
                <w:rFonts w:hint="eastAsia"/>
                <w:highlight w:val="none"/>
                <w:lang w:val="en-US" w:eastAsia="zh-CN"/>
              </w:rPr>
            </w:pPr>
            <w:r>
              <w:rPr>
                <w:rFonts w:hint="eastAsia"/>
                <w:highlight w:val="none"/>
                <w:lang w:val="en-US" w:eastAsia="zh-CN"/>
              </w:rPr>
              <w:t>资金分配合理性</w:t>
            </w:r>
          </w:p>
        </w:tc>
        <w:tc>
          <w:tcPr>
            <w:tcW w:w="900" w:type="dxa"/>
            <w:vAlign w:val="center"/>
          </w:tcPr>
          <w:p w14:paraId="19EFA5A1">
            <w:pPr>
              <w:pStyle w:val="19"/>
              <w:bidi w:val="0"/>
              <w:jc w:val="center"/>
              <w:rPr>
                <w:rFonts w:hint="eastAsia"/>
                <w:highlight w:val="none"/>
                <w:lang w:val="en-US" w:eastAsia="zh-CN"/>
              </w:rPr>
            </w:pPr>
            <w:r>
              <w:rPr>
                <w:rFonts w:hint="eastAsia"/>
                <w:highlight w:val="none"/>
                <w:lang w:val="en-US" w:eastAsia="zh-CN"/>
              </w:rPr>
              <w:t>3</w:t>
            </w:r>
          </w:p>
        </w:tc>
        <w:tc>
          <w:tcPr>
            <w:tcW w:w="870" w:type="dxa"/>
            <w:vAlign w:val="center"/>
          </w:tcPr>
          <w:p w14:paraId="46617AF2">
            <w:pPr>
              <w:pStyle w:val="19"/>
              <w:bidi w:val="0"/>
              <w:jc w:val="center"/>
              <w:rPr>
                <w:rFonts w:hint="eastAsia"/>
                <w:highlight w:val="none"/>
                <w:lang w:val="en-US" w:eastAsia="zh-CN"/>
              </w:rPr>
            </w:pPr>
            <w:r>
              <w:rPr>
                <w:rFonts w:hint="eastAsia"/>
                <w:highlight w:val="none"/>
                <w:lang w:val="en-US" w:eastAsia="zh-CN"/>
              </w:rPr>
              <w:t>3</w:t>
            </w:r>
          </w:p>
        </w:tc>
      </w:tr>
      <w:tr w14:paraId="523E5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51" w:type="dxa"/>
            <w:gridSpan w:val="3"/>
            <w:vAlign w:val="center"/>
          </w:tcPr>
          <w:p w14:paraId="40A8B55C">
            <w:pPr>
              <w:pStyle w:val="19"/>
              <w:bidi w:val="0"/>
              <w:jc w:val="center"/>
              <w:rPr>
                <w:rFonts w:hint="eastAsia"/>
                <w:highlight w:val="none"/>
                <w:lang w:val="en-US" w:eastAsia="zh-CN"/>
              </w:rPr>
            </w:pPr>
            <w:r>
              <w:rPr>
                <w:rFonts w:hint="eastAsia"/>
                <w:highlight w:val="none"/>
                <w:lang w:val="en-US" w:eastAsia="zh-CN"/>
              </w:rPr>
              <w:t>合计</w:t>
            </w:r>
          </w:p>
        </w:tc>
        <w:tc>
          <w:tcPr>
            <w:tcW w:w="1035" w:type="dxa"/>
            <w:vAlign w:val="center"/>
          </w:tcPr>
          <w:p w14:paraId="62D0FD56">
            <w:pPr>
              <w:pStyle w:val="19"/>
              <w:bidi w:val="0"/>
              <w:jc w:val="center"/>
              <w:rPr>
                <w:rFonts w:hint="eastAsia"/>
                <w:highlight w:val="none"/>
                <w:lang w:val="en-US" w:eastAsia="zh-CN"/>
              </w:rPr>
            </w:pPr>
            <w:r>
              <w:rPr>
                <w:rFonts w:hint="eastAsia"/>
                <w:highlight w:val="none"/>
                <w:lang w:val="en-US" w:eastAsia="zh-CN"/>
              </w:rPr>
              <w:t>20</w:t>
            </w:r>
          </w:p>
        </w:tc>
        <w:tc>
          <w:tcPr>
            <w:tcW w:w="1988" w:type="dxa"/>
            <w:vAlign w:val="center"/>
          </w:tcPr>
          <w:p w14:paraId="761E719D">
            <w:pPr>
              <w:pStyle w:val="19"/>
              <w:bidi w:val="0"/>
              <w:jc w:val="center"/>
              <w:rPr>
                <w:rFonts w:hint="eastAsia"/>
                <w:highlight w:val="none"/>
                <w:lang w:val="en-US" w:eastAsia="zh-CN"/>
              </w:rPr>
            </w:pPr>
          </w:p>
        </w:tc>
        <w:tc>
          <w:tcPr>
            <w:tcW w:w="900" w:type="dxa"/>
            <w:vAlign w:val="center"/>
          </w:tcPr>
          <w:p w14:paraId="4658302E">
            <w:pPr>
              <w:pStyle w:val="19"/>
              <w:bidi w:val="0"/>
              <w:jc w:val="center"/>
              <w:rPr>
                <w:rFonts w:hint="eastAsia"/>
                <w:highlight w:val="none"/>
                <w:lang w:val="en-US" w:eastAsia="zh-CN"/>
              </w:rPr>
            </w:pPr>
            <w:r>
              <w:rPr>
                <w:rFonts w:hint="eastAsia"/>
                <w:highlight w:val="none"/>
                <w:lang w:val="en-US" w:eastAsia="zh-CN"/>
              </w:rPr>
              <w:t>20</w:t>
            </w:r>
          </w:p>
        </w:tc>
        <w:tc>
          <w:tcPr>
            <w:tcW w:w="870" w:type="dxa"/>
            <w:vAlign w:val="center"/>
          </w:tcPr>
          <w:p w14:paraId="0E4E5B28">
            <w:pPr>
              <w:pStyle w:val="19"/>
              <w:bidi w:val="0"/>
              <w:jc w:val="center"/>
              <w:rPr>
                <w:rFonts w:hint="default"/>
                <w:highlight w:val="none"/>
                <w:lang w:val="en-US" w:eastAsia="zh-CN"/>
              </w:rPr>
            </w:pPr>
            <w:r>
              <w:rPr>
                <w:rFonts w:hint="eastAsia"/>
                <w:highlight w:val="none"/>
                <w:lang w:val="en-US" w:eastAsia="zh-CN"/>
              </w:rPr>
              <w:t>18</w:t>
            </w:r>
          </w:p>
        </w:tc>
      </w:tr>
    </w:tbl>
    <w:p w14:paraId="1709174B">
      <w:pPr>
        <w:rPr>
          <w:rFonts w:hint="eastAsia" w:ascii="仿宋_GB2312" w:hAnsi="仿宋_GB2312" w:eastAsia="仿宋_GB2312" w:cs="仿宋_GB2312"/>
          <w:highlight w:val="none"/>
          <w:lang w:val="en-US" w:eastAsia="zh-CN"/>
        </w:rPr>
      </w:pPr>
    </w:p>
    <w:p w14:paraId="64C5808C">
      <w:pPr>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bCs/>
          <w:highlight w:val="none"/>
          <w:lang w:val="en-US" w:eastAsia="zh-CN"/>
        </w:rPr>
        <w:t>对于“立项依据充分性”：</w:t>
      </w:r>
      <w:r>
        <w:rPr>
          <w:rFonts w:hint="eastAsia" w:ascii="仿宋_GB2312" w:hAnsi="仿宋_GB2312" w:eastAsia="仿宋_GB2312" w:cs="仿宋_GB2312"/>
          <w:b w:val="0"/>
          <w:bCs w:val="0"/>
          <w:highlight w:val="none"/>
          <w:lang w:val="en-US" w:eastAsia="zh-CN"/>
        </w:rPr>
        <w:t>项目立项符合《中华人民共和国预算法》《国务院关于印发〈推动大规模设备更新和消费品以旧换新行动方案〉的通知》（国发〔2024〕7号）等法规政策要求；项目立项与克拉玛依区住房和城乡建设局职责范围相符；项目与相关部门同类项目或部门内部相关项目之间不存在重复。综上所述，该指标满分 4 分，得分 4 分。</w:t>
      </w:r>
    </w:p>
    <w:p w14:paraId="62700325">
      <w:pPr>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bCs/>
          <w:highlight w:val="none"/>
          <w:lang w:val="en-US" w:eastAsia="zh-CN"/>
        </w:rPr>
        <w:t>对于“立项程序规范性”：</w:t>
      </w:r>
      <w:r>
        <w:rPr>
          <w:rFonts w:hint="eastAsia" w:ascii="仿宋_GB2312" w:hAnsi="仿宋_GB2312" w:eastAsia="仿宋_GB2312" w:cs="仿宋_GB2312"/>
          <w:b w:val="0"/>
          <w:bCs w:val="0"/>
          <w:highlight w:val="none"/>
          <w:lang w:val="en-US" w:eastAsia="zh-CN"/>
        </w:rPr>
        <w:t>①项目按照规定的程序申请设立；②项目立项审批文件由发改部门批复，符合相关要求；③事前已经过必要的专家论证、风险评估、绩效评估、集体决策。综上所述，该指标满分 3 分，得分 3 分。</w:t>
      </w:r>
    </w:p>
    <w:p w14:paraId="58B59028">
      <w:pPr>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bCs/>
          <w:highlight w:val="none"/>
          <w:lang w:val="en-US" w:eastAsia="zh-CN"/>
        </w:rPr>
        <w:t>对于“绩效目标合理性”：</w:t>
      </w:r>
      <w:r>
        <w:rPr>
          <w:rFonts w:hint="eastAsia" w:ascii="仿宋_GB2312" w:hAnsi="仿宋_GB2312" w:eastAsia="仿宋_GB2312" w:cs="仿宋_GB2312"/>
          <w:b w:val="0"/>
          <w:bCs w:val="0"/>
          <w:highlight w:val="none"/>
          <w:lang w:val="en-US" w:eastAsia="zh-CN"/>
        </w:rPr>
        <w:t>依据项目资料，①项目已经设定绩效目标；②项目绩效目标与实际工作内容具备相关性；③项目预期产出效果符合正常的业绩水平。综上所述，该指标满分4分，得分</w:t>
      </w:r>
      <w:r>
        <w:rPr>
          <w:rFonts w:hint="eastAsia" w:cs="仿宋_GB2312"/>
          <w:b w:val="0"/>
          <w:bCs w:val="0"/>
          <w:highlight w:val="none"/>
          <w:lang w:val="en-US" w:eastAsia="zh-CN"/>
        </w:rPr>
        <w:t>4</w:t>
      </w:r>
      <w:r>
        <w:rPr>
          <w:rFonts w:hint="eastAsia" w:ascii="仿宋_GB2312" w:hAnsi="仿宋_GB2312" w:eastAsia="仿宋_GB2312" w:cs="仿宋_GB2312"/>
          <w:b w:val="0"/>
          <w:bCs w:val="0"/>
          <w:highlight w:val="none"/>
          <w:lang w:val="en-US" w:eastAsia="zh-CN"/>
        </w:rPr>
        <w:t>分。</w:t>
      </w:r>
    </w:p>
    <w:p w14:paraId="05601609">
      <w:pPr>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bCs/>
          <w:highlight w:val="none"/>
          <w:lang w:val="en-US" w:eastAsia="zh-CN"/>
        </w:rPr>
        <w:t>对于“绩效指标明确性”：</w:t>
      </w:r>
      <w:r>
        <w:rPr>
          <w:rFonts w:hint="eastAsia"/>
          <w:b w:val="0"/>
          <w:bCs w:val="0"/>
          <w:highlight w:val="none"/>
          <w:lang w:val="en-US" w:eastAsia="zh-CN"/>
        </w:rPr>
        <w:t>项目已将项目绩效目标细化、分解为具体的绩效指标，但部分指标设置不合理，不适用本项目或无法反映项目实际情况。例如质量指标中“政府采购率”指标，本项目不属于政府政府采购，此指标不适用；时效指标中“设备采购时间”指标，并不能完全反映出项目时效性；</w:t>
      </w:r>
      <w:r>
        <w:rPr>
          <w:rFonts w:hint="eastAsia" w:ascii="仿宋_GB2312" w:hAnsi="仿宋_GB2312" w:eastAsia="仿宋_GB2312" w:cs="仿宋_GB2312"/>
          <w:b w:val="0"/>
          <w:bCs w:val="0"/>
          <w:highlight w:val="none"/>
          <w:lang w:val="en-US" w:eastAsia="zh-CN"/>
        </w:rPr>
        <w:t>。综上所述，该指标满分 3 分，扣</w:t>
      </w:r>
      <w:r>
        <w:rPr>
          <w:rFonts w:hint="eastAsia" w:cs="仿宋_GB2312"/>
          <w:b w:val="0"/>
          <w:bCs w:val="0"/>
          <w:highlight w:val="none"/>
          <w:lang w:val="en-US" w:eastAsia="zh-CN"/>
        </w:rPr>
        <w:t>2</w:t>
      </w:r>
      <w:r>
        <w:rPr>
          <w:rFonts w:hint="eastAsia" w:ascii="仿宋_GB2312" w:hAnsi="仿宋_GB2312" w:eastAsia="仿宋_GB2312" w:cs="仿宋_GB2312"/>
          <w:b w:val="0"/>
          <w:bCs w:val="0"/>
          <w:highlight w:val="none"/>
          <w:lang w:val="en-US" w:eastAsia="zh-CN"/>
        </w:rPr>
        <w:t xml:space="preserve">分得分 </w:t>
      </w:r>
      <w:r>
        <w:rPr>
          <w:rFonts w:hint="eastAsia" w:cs="仿宋_GB2312"/>
          <w:b w:val="0"/>
          <w:bCs w:val="0"/>
          <w:highlight w:val="none"/>
          <w:lang w:val="en-US" w:eastAsia="zh-CN"/>
        </w:rPr>
        <w:t>1</w:t>
      </w:r>
      <w:r>
        <w:rPr>
          <w:rFonts w:hint="eastAsia" w:ascii="仿宋_GB2312" w:hAnsi="仿宋_GB2312" w:eastAsia="仿宋_GB2312" w:cs="仿宋_GB2312"/>
          <w:b w:val="0"/>
          <w:bCs w:val="0"/>
          <w:highlight w:val="none"/>
          <w:lang w:val="en-US" w:eastAsia="zh-CN"/>
        </w:rPr>
        <w:t xml:space="preserve"> 分。</w:t>
      </w:r>
    </w:p>
    <w:p w14:paraId="09FC12A3">
      <w:pPr>
        <w:rPr>
          <w:rFonts w:hint="eastAsia"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对于“预算编制科学性”：</w:t>
      </w:r>
      <w:r>
        <w:rPr>
          <w:rFonts w:hint="eastAsia" w:ascii="仿宋_GB2312" w:hAnsi="仿宋_GB2312" w:eastAsia="仿宋_GB2312" w:cs="仿宋_GB2312"/>
          <w:b w:val="0"/>
          <w:bCs w:val="0"/>
          <w:highlight w:val="none"/>
          <w:lang w:val="en-US" w:eastAsia="zh-CN"/>
        </w:rPr>
        <w:t>①预算内容与项目内容匹配；②预算额度按照标准编制；③预算确定的项目投资额与工作任务相匹配。综上所述，该指标满分 3 分，得分 3</w:t>
      </w:r>
      <w:r>
        <w:rPr>
          <w:rFonts w:hint="eastAsia" w:cs="仿宋_GB2312"/>
          <w:b w:val="0"/>
          <w:bCs w:val="0"/>
          <w:highlight w:val="none"/>
          <w:lang w:val="en-US" w:eastAsia="zh-CN"/>
        </w:rPr>
        <w:t xml:space="preserve"> </w:t>
      </w:r>
      <w:r>
        <w:rPr>
          <w:rFonts w:hint="eastAsia" w:ascii="仿宋_GB2312" w:hAnsi="仿宋_GB2312" w:eastAsia="仿宋_GB2312" w:cs="仿宋_GB2312"/>
          <w:b w:val="0"/>
          <w:bCs w:val="0"/>
          <w:highlight w:val="none"/>
          <w:lang w:val="en-US" w:eastAsia="zh-CN"/>
        </w:rPr>
        <w:t>分</w:t>
      </w:r>
    </w:p>
    <w:p w14:paraId="45910344">
      <w:pPr>
        <w:rPr>
          <w:rFonts w:hint="eastAsia"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对于“资金分配合理性”：</w:t>
      </w:r>
      <w:r>
        <w:rPr>
          <w:rFonts w:hint="eastAsia" w:ascii="仿宋_GB2312" w:hAnsi="仿宋_GB2312" w:eastAsia="仿宋_GB2312" w:cs="仿宋_GB2312"/>
          <w:b w:val="0"/>
          <w:bCs w:val="0"/>
          <w:highlight w:val="none"/>
          <w:lang w:val="en-US" w:eastAsia="zh-CN"/>
        </w:rPr>
        <w:t>依据项目资金申请报告，项目预算资金分配依据充分，资金分配合理，与克拉玛依市本地实际相适应。综上所述，该指标满分 3 分，得分 3 分。</w:t>
      </w:r>
    </w:p>
    <w:p w14:paraId="4BF9C1D3">
      <w:pPr>
        <w:pStyle w:val="5"/>
        <w:numPr>
          <w:ilvl w:val="0"/>
          <w:numId w:val="23"/>
        </w:numPr>
        <w:bidi w:val="0"/>
        <w:ind w:left="420" w:leftChars="0" w:firstLine="218" w:firstLineChars="68"/>
        <w:rPr>
          <w:rFonts w:hint="eastAsia"/>
          <w:highlight w:val="none"/>
          <w:lang w:val="en-US" w:eastAsia="zh-CN"/>
        </w:rPr>
      </w:pPr>
      <w:bookmarkStart w:id="173" w:name="_Toc21618"/>
      <w:bookmarkStart w:id="174" w:name="_Toc17971"/>
      <w:bookmarkStart w:id="175" w:name="_Toc6207"/>
      <w:r>
        <w:rPr>
          <w:rFonts w:hint="eastAsia"/>
          <w:highlight w:val="none"/>
          <w:lang w:val="en-US" w:eastAsia="zh-CN"/>
        </w:rPr>
        <w:t>管理情况分析</w:t>
      </w:r>
      <w:bookmarkEnd w:id="173"/>
      <w:bookmarkEnd w:id="174"/>
      <w:bookmarkEnd w:id="175"/>
    </w:p>
    <w:p w14:paraId="083A6404">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项目管理类指标是从项目的资金管理和组织实施两个方面来对项目实施进行考察，主要从资金到位率、预算执行率、资金使用合规性、管理制度健全性、制度执行有效性、项目质量可控性、自评及整改进行分析。项目管理类指标分值20分，实际得分 1</w:t>
      </w:r>
      <w:r>
        <w:rPr>
          <w:rFonts w:hint="eastAsia" w:cs="仿宋_GB2312"/>
          <w:highlight w:val="none"/>
          <w:lang w:val="en-US" w:eastAsia="zh-CN"/>
        </w:rPr>
        <w:t>9</w:t>
      </w:r>
      <w:r>
        <w:rPr>
          <w:rFonts w:hint="eastAsia" w:ascii="仿宋_GB2312" w:hAnsi="仿宋_GB2312" w:eastAsia="仿宋_GB2312" w:cs="仿宋_GB2312"/>
          <w:highlight w:val="none"/>
          <w:lang w:val="en-US" w:eastAsia="zh-CN"/>
        </w:rPr>
        <w:t xml:space="preserve"> 分。各指标详细得分情况如下表所示：</w:t>
      </w:r>
    </w:p>
    <w:p w14:paraId="2BC67EF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b/>
          <w:bCs/>
          <w:sz w:val="24"/>
          <w:szCs w:val="24"/>
          <w:highlight w:val="none"/>
          <w:lang w:val="en-US" w:eastAsia="zh-CN"/>
        </w:rPr>
        <w:t>表</w:t>
      </w:r>
      <w:r>
        <w:rPr>
          <w:rFonts w:hint="eastAsia" w:cs="仿宋_GB2312"/>
          <w:b/>
          <w:bCs/>
          <w:sz w:val="24"/>
          <w:szCs w:val="24"/>
          <w:highlight w:val="none"/>
          <w:lang w:val="en-US" w:eastAsia="zh-CN"/>
        </w:rPr>
        <w:t>4</w:t>
      </w:r>
      <w:r>
        <w:rPr>
          <w:rFonts w:hint="eastAsia" w:ascii="仿宋_GB2312" w:hAnsi="仿宋_GB2312" w:eastAsia="仿宋_GB2312" w:cs="仿宋_GB2312"/>
          <w:b/>
          <w:bCs/>
          <w:sz w:val="24"/>
          <w:szCs w:val="24"/>
          <w:highlight w:val="none"/>
          <w:lang w:val="en-US" w:eastAsia="zh-CN"/>
        </w:rPr>
        <w:t>-</w:t>
      </w:r>
      <w:r>
        <w:rPr>
          <w:rFonts w:hint="eastAsia" w:cs="仿宋_GB2312"/>
          <w:b/>
          <w:bCs/>
          <w:sz w:val="24"/>
          <w:szCs w:val="24"/>
          <w:highlight w:val="none"/>
          <w:lang w:val="en-US" w:eastAsia="zh-CN"/>
        </w:rPr>
        <w:t xml:space="preserve">2 </w:t>
      </w:r>
      <w:r>
        <w:rPr>
          <w:rFonts w:hint="eastAsia" w:ascii="仿宋_GB2312" w:hAnsi="仿宋_GB2312" w:eastAsia="仿宋_GB2312" w:cs="仿宋_GB2312"/>
          <w:b/>
          <w:bCs/>
          <w:sz w:val="24"/>
          <w:szCs w:val="24"/>
          <w:highlight w:val="none"/>
          <w:lang w:val="en-US" w:eastAsia="zh-CN"/>
        </w:rPr>
        <w:t>项目</w:t>
      </w:r>
      <w:r>
        <w:rPr>
          <w:rFonts w:hint="eastAsia" w:cs="仿宋_GB2312"/>
          <w:b/>
          <w:bCs/>
          <w:sz w:val="24"/>
          <w:szCs w:val="24"/>
          <w:highlight w:val="none"/>
          <w:lang w:val="en-US" w:eastAsia="zh-CN"/>
        </w:rPr>
        <w:t>管理得分情况</w:t>
      </w:r>
      <w:r>
        <w:rPr>
          <w:rFonts w:hint="eastAsia" w:ascii="仿宋_GB2312" w:hAnsi="仿宋_GB2312" w:eastAsia="仿宋_GB2312" w:cs="仿宋_GB2312"/>
          <w:b/>
          <w:bCs/>
          <w:sz w:val="24"/>
          <w:szCs w:val="24"/>
          <w:highlight w:val="none"/>
          <w:lang w:val="en-US" w:eastAsia="zh-CN"/>
        </w:rPr>
        <w:t>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6"/>
        <w:gridCol w:w="1048"/>
        <w:gridCol w:w="1217"/>
        <w:gridCol w:w="1035"/>
        <w:gridCol w:w="1988"/>
        <w:gridCol w:w="900"/>
        <w:gridCol w:w="948"/>
      </w:tblGrid>
      <w:tr w14:paraId="7593D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shd w:val="clear" w:color="auto" w:fill="D7D7D7" w:themeFill="background1" w:themeFillShade="D8"/>
            <w:vAlign w:val="center"/>
          </w:tcPr>
          <w:p w14:paraId="24FCFB66">
            <w:pPr>
              <w:pStyle w:val="19"/>
              <w:bidi w:val="0"/>
              <w:jc w:val="center"/>
              <w:rPr>
                <w:rFonts w:hint="eastAsia"/>
                <w:highlight w:val="none"/>
                <w:lang w:val="en-US" w:eastAsia="zh-CN"/>
              </w:rPr>
            </w:pPr>
            <w:r>
              <w:rPr>
                <w:rFonts w:hint="eastAsia"/>
                <w:highlight w:val="none"/>
                <w:lang w:val="en-US" w:eastAsia="zh-CN"/>
              </w:rPr>
              <w:t>一级指标</w:t>
            </w:r>
          </w:p>
        </w:tc>
        <w:tc>
          <w:tcPr>
            <w:tcW w:w="1048" w:type="dxa"/>
            <w:shd w:val="clear" w:color="auto" w:fill="D7D7D7" w:themeFill="background1" w:themeFillShade="D8"/>
            <w:vAlign w:val="center"/>
          </w:tcPr>
          <w:p w14:paraId="051138F1">
            <w:pPr>
              <w:pStyle w:val="19"/>
              <w:bidi w:val="0"/>
              <w:jc w:val="center"/>
              <w:rPr>
                <w:rFonts w:hint="eastAsia"/>
                <w:highlight w:val="none"/>
                <w:lang w:val="en-US" w:eastAsia="zh-CN"/>
              </w:rPr>
            </w:pPr>
            <w:r>
              <w:rPr>
                <w:rFonts w:hint="eastAsia"/>
                <w:highlight w:val="none"/>
                <w:lang w:val="en-US" w:eastAsia="zh-CN"/>
              </w:rPr>
              <w:t>分值</w:t>
            </w:r>
          </w:p>
        </w:tc>
        <w:tc>
          <w:tcPr>
            <w:tcW w:w="1217" w:type="dxa"/>
            <w:shd w:val="clear" w:color="auto" w:fill="D7D7D7" w:themeFill="background1" w:themeFillShade="D8"/>
            <w:vAlign w:val="center"/>
          </w:tcPr>
          <w:p w14:paraId="174409F9">
            <w:pPr>
              <w:pStyle w:val="19"/>
              <w:bidi w:val="0"/>
              <w:jc w:val="center"/>
              <w:rPr>
                <w:rFonts w:hint="eastAsia"/>
                <w:highlight w:val="none"/>
                <w:lang w:val="en-US" w:eastAsia="zh-CN"/>
              </w:rPr>
            </w:pPr>
            <w:r>
              <w:rPr>
                <w:rFonts w:hint="eastAsia"/>
                <w:highlight w:val="none"/>
                <w:lang w:val="en-US" w:eastAsia="zh-CN"/>
              </w:rPr>
              <w:t>二级指标</w:t>
            </w:r>
          </w:p>
        </w:tc>
        <w:tc>
          <w:tcPr>
            <w:tcW w:w="1035" w:type="dxa"/>
            <w:shd w:val="clear" w:color="auto" w:fill="D7D7D7" w:themeFill="background1" w:themeFillShade="D8"/>
            <w:vAlign w:val="center"/>
          </w:tcPr>
          <w:p w14:paraId="3BBA84E8">
            <w:pPr>
              <w:pStyle w:val="19"/>
              <w:bidi w:val="0"/>
              <w:jc w:val="center"/>
              <w:rPr>
                <w:rFonts w:hint="eastAsia"/>
                <w:highlight w:val="none"/>
                <w:lang w:val="en-US" w:eastAsia="zh-CN"/>
              </w:rPr>
            </w:pPr>
            <w:r>
              <w:rPr>
                <w:rFonts w:hint="eastAsia"/>
                <w:highlight w:val="none"/>
                <w:lang w:val="en-US" w:eastAsia="zh-CN"/>
              </w:rPr>
              <w:t>分值</w:t>
            </w:r>
          </w:p>
        </w:tc>
        <w:tc>
          <w:tcPr>
            <w:tcW w:w="1988" w:type="dxa"/>
            <w:shd w:val="clear" w:color="auto" w:fill="D7D7D7" w:themeFill="background1" w:themeFillShade="D8"/>
            <w:vAlign w:val="center"/>
          </w:tcPr>
          <w:p w14:paraId="54C54597">
            <w:pPr>
              <w:pStyle w:val="19"/>
              <w:bidi w:val="0"/>
              <w:jc w:val="center"/>
              <w:rPr>
                <w:rFonts w:hint="eastAsia"/>
                <w:highlight w:val="none"/>
                <w:lang w:val="en-US" w:eastAsia="zh-CN"/>
              </w:rPr>
            </w:pPr>
            <w:r>
              <w:rPr>
                <w:rFonts w:hint="eastAsia"/>
                <w:highlight w:val="none"/>
                <w:lang w:val="en-US" w:eastAsia="zh-CN"/>
              </w:rPr>
              <w:t>三级指标</w:t>
            </w:r>
          </w:p>
        </w:tc>
        <w:tc>
          <w:tcPr>
            <w:tcW w:w="900" w:type="dxa"/>
            <w:shd w:val="clear" w:color="auto" w:fill="D7D7D7" w:themeFill="background1" w:themeFillShade="D8"/>
            <w:vAlign w:val="center"/>
          </w:tcPr>
          <w:p w14:paraId="4A4EAD5B">
            <w:pPr>
              <w:pStyle w:val="19"/>
              <w:bidi w:val="0"/>
              <w:jc w:val="center"/>
              <w:rPr>
                <w:rFonts w:hint="eastAsia"/>
                <w:highlight w:val="none"/>
                <w:lang w:val="en-US" w:eastAsia="zh-CN"/>
              </w:rPr>
            </w:pPr>
            <w:r>
              <w:rPr>
                <w:rFonts w:hint="eastAsia"/>
                <w:highlight w:val="none"/>
                <w:lang w:val="en-US" w:eastAsia="zh-CN"/>
              </w:rPr>
              <w:t>分值</w:t>
            </w:r>
          </w:p>
        </w:tc>
        <w:tc>
          <w:tcPr>
            <w:tcW w:w="948" w:type="dxa"/>
            <w:shd w:val="clear" w:color="auto" w:fill="D7D7D7" w:themeFill="background1" w:themeFillShade="D8"/>
            <w:vAlign w:val="center"/>
          </w:tcPr>
          <w:p w14:paraId="3F5D1500">
            <w:pPr>
              <w:pStyle w:val="19"/>
              <w:bidi w:val="0"/>
              <w:jc w:val="center"/>
              <w:rPr>
                <w:rFonts w:hint="eastAsia"/>
                <w:highlight w:val="none"/>
                <w:lang w:val="en-US" w:eastAsia="zh-CN"/>
              </w:rPr>
            </w:pPr>
            <w:r>
              <w:rPr>
                <w:rFonts w:hint="eastAsia"/>
                <w:highlight w:val="none"/>
                <w:lang w:val="en-US" w:eastAsia="zh-CN"/>
              </w:rPr>
              <w:t>得分</w:t>
            </w:r>
          </w:p>
        </w:tc>
      </w:tr>
      <w:tr w14:paraId="10E6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restart"/>
            <w:vAlign w:val="center"/>
          </w:tcPr>
          <w:p w14:paraId="00916C49">
            <w:pPr>
              <w:pStyle w:val="19"/>
              <w:bidi w:val="0"/>
              <w:jc w:val="center"/>
              <w:rPr>
                <w:rFonts w:hint="eastAsia"/>
                <w:highlight w:val="none"/>
                <w:lang w:val="en-US" w:eastAsia="zh-CN"/>
              </w:rPr>
            </w:pPr>
            <w:r>
              <w:rPr>
                <w:rFonts w:hint="eastAsia"/>
                <w:highlight w:val="none"/>
                <w:lang w:val="en-US" w:eastAsia="zh-CN"/>
              </w:rPr>
              <w:t>项目管理</w:t>
            </w:r>
          </w:p>
        </w:tc>
        <w:tc>
          <w:tcPr>
            <w:tcW w:w="1048" w:type="dxa"/>
            <w:vMerge w:val="restart"/>
            <w:vAlign w:val="center"/>
          </w:tcPr>
          <w:p w14:paraId="37BCF664">
            <w:pPr>
              <w:pStyle w:val="19"/>
              <w:bidi w:val="0"/>
              <w:jc w:val="center"/>
              <w:rPr>
                <w:rFonts w:hint="eastAsia"/>
                <w:highlight w:val="none"/>
                <w:lang w:val="en-US" w:eastAsia="zh-CN"/>
              </w:rPr>
            </w:pPr>
            <w:r>
              <w:rPr>
                <w:rFonts w:hint="eastAsia"/>
                <w:highlight w:val="none"/>
                <w:lang w:val="en-US" w:eastAsia="zh-CN"/>
              </w:rPr>
              <w:t>20</w:t>
            </w:r>
          </w:p>
        </w:tc>
        <w:tc>
          <w:tcPr>
            <w:tcW w:w="1217" w:type="dxa"/>
            <w:vMerge w:val="restart"/>
            <w:vAlign w:val="center"/>
          </w:tcPr>
          <w:p w14:paraId="6DD55FD5">
            <w:pPr>
              <w:pStyle w:val="19"/>
              <w:bidi w:val="0"/>
              <w:jc w:val="center"/>
              <w:rPr>
                <w:rFonts w:hint="eastAsia"/>
                <w:highlight w:val="none"/>
                <w:lang w:val="en-US" w:eastAsia="zh-CN"/>
              </w:rPr>
            </w:pPr>
            <w:r>
              <w:rPr>
                <w:rFonts w:hint="eastAsia"/>
                <w:highlight w:val="none"/>
                <w:lang w:val="en-US" w:eastAsia="zh-CN"/>
              </w:rPr>
              <w:t>资金管理</w:t>
            </w:r>
          </w:p>
        </w:tc>
        <w:tc>
          <w:tcPr>
            <w:tcW w:w="1035" w:type="dxa"/>
            <w:vMerge w:val="restart"/>
            <w:vAlign w:val="center"/>
          </w:tcPr>
          <w:p w14:paraId="239F0821">
            <w:pPr>
              <w:pStyle w:val="19"/>
              <w:bidi w:val="0"/>
              <w:jc w:val="center"/>
              <w:rPr>
                <w:rFonts w:hint="eastAsia"/>
                <w:highlight w:val="none"/>
                <w:lang w:val="en-US" w:eastAsia="zh-CN"/>
              </w:rPr>
            </w:pPr>
            <w:r>
              <w:rPr>
                <w:rFonts w:hint="eastAsia"/>
                <w:highlight w:val="none"/>
                <w:lang w:val="en-US" w:eastAsia="zh-CN"/>
              </w:rPr>
              <w:t>12</w:t>
            </w:r>
          </w:p>
        </w:tc>
        <w:tc>
          <w:tcPr>
            <w:tcW w:w="1988" w:type="dxa"/>
            <w:vAlign w:val="center"/>
          </w:tcPr>
          <w:p w14:paraId="32BBA127">
            <w:pPr>
              <w:pStyle w:val="19"/>
              <w:bidi w:val="0"/>
              <w:jc w:val="center"/>
              <w:rPr>
                <w:rFonts w:hint="eastAsia"/>
                <w:highlight w:val="none"/>
                <w:lang w:val="en-US" w:eastAsia="zh-CN"/>
              </w:rPr>
            </w:pPr>
            <w:r>
              <w:rPr>
                <w:rFonts w:hint="eastAsia"/>
                <w:highlight w:val="none"/>
                <w:lang w:val="en-US" w:eastAsia="zh-CN"/>
              </w:rPr>
              <w:t>资金到位率</w:t>
            </w:r>
          </w:p>
        </w:tc>
        <w:tc>
          <w:tcPr>
            <w:tcW w:w="900" w:type="dxa"/>
            <w:vAlign w:val="center"/>
          </w:tcPr>
          <w:p w14:paraId="6F4E4D09">
            <w:pPr>
              <w:pStyle w:val="19"/>
              <w:bidi w:val="0"/>
              <w:jc w:val="center"/>
              <w:rPr>
                <w:rFonts w:hint="eastAsia"/>
                <w:highlight w:val="none"/>
                <w:lang w:val="en-US" w:eastAsia="zh-CN"/>
              </w:rPr>
            </w:pPr>
            <w:r>
              <w:rPr>
                <w:rFonts w:hint="eastAsia"/>
                <w:highlight w:val="none"/>
                <w:lang w:val="en-US" w:eastAsia="zh-CN"/>
              </w:rPr>
              <w:t>2</w:t>
            </w:r>
          </w:p>
        </w:tc>
        <w:tc>
          <w:tcPr>
            <w:tcW w:w="948" w:type="dxa"/>
            <w:vAlign w:val="center"/>
          </w:tcPr>
          <w:p w14:paraId="7E40847C">
            <w:pPr>
              <w:pStyle w:val="19"/>
              <w:bidi w:val="0"/>
              <w:jc w:val="center"/>
              <w:rPr>
                <w:rFonts w:hint="eastAsia"/>
                <w:highlight w:val="none"/>
                <w:lang w:val="en-US" w:eastAsia="zh-CN"/>
              </w:rPr>
            </w:pPr>
            <w:r>
              <w:rPr>
                <w:rFonts w:hint="eastAsia"/>
                <w:highlight w:val="none"/>
                <w:lang w:val="en-US" w:eastAsia="zh-CN"/>
              </w:rPr>
              <w:t>2</w:t>
            </w:r>
          </w:p>
        </w:tc>
      </w:tr>
      <w:tr w14:paraId="6F507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vAlign w:val="center"/>
          </w:tcPr>
          <w:p w14:paraId="63FE8DB1">
            <w:pPr>
              <w:pStyle w:val="19"/>
              <w:bidi w:val="0"/>
              <w:jc w:val="center"/>
              <w:rPr>
                <w:rFonts w:hint="eastAsia"/>
                <w:highlight w:val="none"/>
                <w:lang w:val="en-US" w:eastAsia="zh-CN"/>
              </w:rPr>
            </w:pPr>
          </w:p>
        </w:tc>
        <w:tc>
          <w:tcPr>
            <w:tcW w:w="1048" w:type="dxa"/>
            <w:vMerge w:val="continue"/>
            <w:vAlign w:val="center"/>
          </w:tcPr>
          <w:p w14:paraId="6C49AABF">
            <w:pPr>
              <w:pStyle w:val="19"/>
              <w:bidi w:val="0"/>
              <w:jc w:val="center"/>
              <w:rPr>
                <w:rFonts w:hint="eastAsia"/>
                <w:highlight w:val="none"/>
                <w:lang w:val="en-US" w:eastAsia="zh-CN"/>
              </w:rPr>
            </w:pPr>
          </w:p>
        </w:tc>
        <w:tc>
          <w:tcPr>
            <w:tcW w:w="1217" w:type="dxa"/>
            <w:vMerge w:val="continue"/>
            <w:vAlign w:val="center"/>
          </w:tcPr>
          <w:p w14:paraId="69417D13">
            <w:pPr>
              <w:pStyle w:val="19"/>
              <w:bidi w:val="0"/>
              <w:jc w:val="center"/>
              <w:rPr>
                <w:rFonts w:hint="eastAsia"/>
                <w:highlight w:val="none"/>
                <w:lang w:val="en-US" w:eastAsia="zh-CN"/>
              </w:rPr>
            </w:pPr>
          </w:p>
        </w:tc>
        <w:tc>
          <w:tcPr>
            <w:tcW w:w="1035" w:type="dxa"/>
            <w:vMerge w:val="continue"/>
            <w:vAlign w:val="center"/>
          </w:tcPr>
          <w:p w14:paraId="0357D4A1">
            <w:pPr>
              <w:pStyle w:val="19"/>
              <w:bidi w:val="0"/>
              <w:jc w:val="center"/>
              <w:rPr>
                <w:rFonts w:hint="eastAsia"/>
                <w:highlight w:val="none"/>
                <w:lang w:val="en-US" w:eastAsia="zh-CN"/>
              </w:rPr>
            </w:pPr>
          </w:p>
        </w:tc>
        <w:tc>
          <w:tcPr>
            <w:tcW w:w="1988" w:type="dxa"/>
            <w:vAlign w:val="center"/>
          </w:tcPr>
          <w:p w14:paraId="73AD511C">
            <w:pPr>
              <w:pStyle w:val="19"/>
              <w:bidi w:val="0"/>
              <w:jc w:val="center"/>
              <w:rPr>
                <w:rFonts w:hint="eastAsia"/>
                <w:highlight w:val="none"/>
                <w:lang w:val="en-US" w:eastAsia="zh-CN"/>
              </w:rPr>
            </w:pPr>
            <w:r>
              <w:rPr>
                <w:rFonts w:hint="eastAsia"/>
                <w:highlight w:val="none"/>
                <w:lang w:val="en-US" w:eastAsia="zh-CN"/>
              </w:rPr>
              <w:t>预算执行率</w:t>
            </w:r>
          </w:p>
        </w:tc>
        <w:tc>
          <w:tcPr>
            <w:tcW w:w="900" w:type="dxa"/>
            <w:vAlign w:val="center"/>
          </w:tcPr>
          <w:p w14:paraId="6846E36D">
            <w:pPr>
              <w:pStyle w:val="19"/>
              <w:bidi w:val="0"/>
              <w:jc w:val="center"/>
              <w:rPr>
                <w:rFonts w:hint="eastAsia"/>
                <w:highlight w:val="none"/>
                <w:lang w:val="en-US" w:eastAsia="zh-CN"/>
              </w:rPr>
            </w:pPr>
            <w:r>
              <w:rPr>
                <w:rFonts w:hint="eastAsia"/>
                <w:highlight w:val="none"/>
                <w:lang w:val="en-US" w:eastAsia="zh-CN"/>
              </w:rPr>
              <w:t>3</w:t>
            </w:r>
          </w:p>
        </w:tc>
        <w:tc>
          <w:tcPr>
            <w:tcW w:w="948" w:type="dxa"/>
            <w:vAlign w:val="center"/>
          </w:tcPr>
          <w:p w14:paraId="0D8B2D51">
            <w:pPr>
              <w:pStyle w:val="19"/>
              <w:bidi w:val="0"/>
              <w:jc w:val="center"/>
              <w:rPr>
                <w:rFonts w:hint="eastAsia"/>
                <w:highlight w:val="none"/>
                <w:lang w:val="en-US" w:eastAsia="zh-CN"/>
              </w:rPr>
            </w:pPr>
            <w:r>
              <w:rPr>
                <w:rFonts w:hint="eastAsia"/>
                <w:highlight w:val="none"/>
                <w:lang w:val="en-US" w:eastAsia="zh-CN"/>
              </w:rPr>
              <w:t>3</w:t>
            </w:r>
          </w:p>
        </w:tc>
      </w:tr>
      <w:tr w14:paraId="5ACDF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vAlign w:val="center"/>
          </w:tcPr>
          <w:p w14:paraId="03CA9357">
            <w:pPr>
              <w:pStyle w:val="19"/>
              <w:bidi w:val="0"/>
              <w:jc w:val="center"/>
              <w:rPr>
                <w:rFonts w:hint="eastAsia"/>
                <w:highlight w:val="none"/>
                <w:lang w:val="en-US" w:eastAsia="zh-CN"/>
              </w:rPr>
            </w:pPr>
          </w:p>
        </w:tc>
        <w:tc>
          <w:tcPr>
            <w:tcW w:w="1048" w:type="dxa"/>
            <w:vMerge w:val="continue"/>
            <w:vAlign w:val="center"/>
          </w:tcPr>
          <w:p w14:paraId="7D0624FC">
            <w:pPr>
              <w:pStyle w:val="19"/>
              <w:bidi w:val="0"/>
              <w:jc w:val="center"/>
              <w:rPr>
                <w:rFonts w:hint="eastAsia"/>
                <w:highlight w:val="none"/>
                <w:lang w:val="en-US" w:eastAsia="zh-CN"/>
              </w:rPr>
            </w:pPr>
          </w:p>
        </w:tc>
        <w:tc>
          <w:tcPr>
            <w:tcW w:w="1217" w:type="dxa"/>
            <w:vMerge w:val="continue"/>
            <w:vAlign w:val="center"/>
          </w:tcPr>
          <w:p w14:paraId="3A0F7E24">
            <w:pPr>
              <w:pStyle w:val="19"/>
              <w:bidi w:val="0"/>
              <w:jc w:val="center"/>
              <w:rPr>
                <w:rFonts w:hint="eastAsia"/>
                <w:highlight w:val="none"/>
                <w:lang w:val="en-US" w:eastAsia="zh-CN"/>
              </w:rPr>
            </w:pPr>
          </w:p>
        </w:tc>
        <w:tc>
          <w:tcPr>
            <w:tcW w:w="1035" w:type="dxa"/>
            <w:vMerge w:val="continue"/>
            <w:vAlign w:val="center"/>
          </w:tcPr>
          <w:p w14:paraId="7043B078">
            <w:pPr>
              <w:pStyle w:val="19"/>
              <w:bidi w:val="0"/>
              <w:jc w:val="center"/>
              <w:rPr>
                <w:rFonts w:hint="eastAsia"/>
                <w:highlight w:val="none"/>
                <w:lang w:val="en-US" w:eastAsia="zh-CN"/>
              </w:rPr>
            </w:pPr>
          </w:p>
        </w:tc>
        <w:tc>
          <w:tcPr>
            <w:tcW w:w="1988" w:type="dxa"/>
            <w:vAlign w:val="center"/>
          </w:tcPr>
          <w:p w14:paraId="34BD2383">
            <w:pPr>
              <w:pStyle w:val="19"/>
              <w:bidi w:val="0"/>
              <w:jc w:val="center"/>
              <w:rPr>
                <w:rFonts w:hint="eastAsia"/>
                <w:highlight w:val="none"/>
                <w:lang w:val="en-US" w:eastAsia="zh-CN"/>
              </w:rPr>
            </w:pPr>
            <w:r>
              <w:rPr>
                <w:rFonts w:hint="eastAsia"/>
                <w:highlight w:val="none"/>
                <w:lang w:val="en-US" w:eastAsia="zh-CN"/>
              </w:rPr>
              <w:t>资金使用合规性</w:t>
            </w:r>
          </w:p>
        </w:tc>
        <w:tc>
          <w:tcPr>
            <w:tcW w:w="900" w:type="dxa"/>
            <w:vAlign w:val="center"/>
          </w:tcPr>
          <w:p w14:paraId="1DA5411C">
            <w:pPr>
              <w:pStyle w:val="19"/>
              <w:bidi w:val="0"/>
              <w:jc w:val="center"/>
              <w:rPr>
                <w:rFonts w:hint="eastAsia"/>
                <w:highlight w:val="none"/>
                <w:lang w:val="en-US" w:eastAsia="zh-CN"/>
              </w:rPr>
            </w:pPr>
            <w:r>
              <w:rPr>
                <w:rFonts w:hint="eastAsia"/>
                <w:highlight w:val="none"/>
                <w:lang w:val="en-US" w:eastAsia="zh-CN"/>
              </w:rPr>
              <w:t>3</w:t>
            </w:r>
          </w:p>
        </w:tc>
        <w:tc>
          <w:tcPr>
            <w:tcW w:w="948" w:type="dxa"/>
            <w:vAlign w:val="center"/>
          </w:tcPr>
          <w:p w14:paraId="122E5294">
            <w:pPr>
              <w:pStyle w:val="19"/>
              <w:bidi w:val="0"/>
              <w:jc w:val="center"/>
              <w:rPr>
                <w:rFonts w:hint="eastAsia"/>
                <w:highlight w:val="none"/>
                <w:lang w:val="en-US" w:eastAsia="zh-CN"/>
              </w:rPr>
            </w:pPr>
            <w:r>
              <w:rPr>
                <w:rFonts w:hint="eastAsia"/>
                <w:highlight w:val="none"/>
                <w:lang w:val="en-US" w:eastAsia="zh-CN"/>
              </w:rPr>
              <w:t>3</w:t>
            </w:r>
          </w:p>
        </w:tc>
      </w:tr>
      <w:tr w14:paraId="6CBA0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vAlign w:val="center"/>
          </w:tcPr>
          <w:p w14:paraId="4FC28AB3">
            <w:pPr>
              <w:pStyle w:val="19"/>
              <w:bidi w:val="0"/>
              <w:jc w:val="center"/>
              <w:rPr>
                <w:rFonts w:hint="eastAsia"/>
                <w:highlight w:val="none"/>
                <w:lang w:val="en-US" w:eastAsia="zh-CN"/>
              </w:rPr>
            </w:pPr>
          </w:p>
        </w:tc>
        <w:tc>
          <w:tcPr>
            <w:tcW w:w="1048" w:type="dxa"/>
            <w:vMerge w:val="continue"/>
            <w:vAlign w:val="center"/>
          </w:tcPr>
          <w:p w14:paraId="63B9A836">
            <w:pPr>
              <w:pStyle w:val="19"/>
              <w:bidi w:val="0"/>
              <w:jc w:val="center"/>
              <w:rPr>
                <w:rFonts w:hint="eastAsia"/>
                <w:highlight w:val="none"/>
                <w:lang w:val="en-US" w:eastAsia="zh-CN"/>
              </w:rPr>
            </w:pPr>
          </w:p>
        </w:tc>
        <w:tc>
          <w:tcPr>
            <w:tcW w:w="1217" w:type="dxa"/>
            <w:vMerge w:val="continue"/>
            <w:vAlign w:val="center"/>
          </w:tcPr>
          <w:p w14:paraId="7B5A36C5">
            <w:pPr>
              <w:pStyle w:val="19"/>
              <w:bidi w:val="0"/>
              <w:jc w:val="center"/>
              <w:rPr>
                <w:rFonts w:hint="eastAsia"/>
                <w:highlight w:val="none"/>
                <w:lang w:val="en-US" w:eastAsia="zh-CN"/>
              </w:rPr>
            </w:pPr>
          </w:p>
        </w:tc>
        <w:tc>
          <w:tcPr>
            <w:tcW w:w="1035" w:type="dxa"/>
            <w:vMerge w:val="continue"/>
            <w:vAlign w:val="center"/>
          </w:tcPr>
          <w:p w14:paraId="06F91D77">
            <w:pPr>
              <w:pStyle w:val="19"/>
              <w:bidi w:val="0"/>
              <w:jc w:val="center"/>
              <w:rPr>
                <w:rFonts w:hint="eastAsia"/>
                <w:highlight w:val="none"/>
                <w:lang w:val="en-US" w:eastAsia="zh-CN"/>
              </w:rPr>
            </w:pPr>
          </w:p>
        </w:tc>
        <w:tc>
          <w:tcPr>
            <w:tcW w:w="1988" w:type="dxa"/>
            <w:vAlign w:val="center"/>
          </w:tcPr>
          <w:p w14:paraId="2F80D7A0">
            <w:pPr>
              <w:pStyle w:val="19"/>
              <w:bidi w:val="0"/>
              <w:jc w:val="center"/>
              <w:rPr>
                <w:rFonts w:hint="eastAsia"/>
                <w:highlight w:val="none"/>
                <w:lang w:val="en-US" w:eastAsia="zh-CN"/>
              </w:rPr>
            </w:pPr>
            <w:r>
              <w:rPr>
                <w:rFonts w:hint="eastAsia"/>
                <w:highlight w:val="none"/>
                <w:lang w:val="en-US" w:eastAsia="zh-CN"/>
              </w:rPr>
              <w:t>管理制度健全性</w:t>
            </w:r>
          </w:p>
        </w:tc>
        <w:tc>
          <w:tcPr>
            <w:tcW w:w="900" w:type="dxa"/>
            <w:vAlign w:val="center"/>
          </w:tcPr>
          <w:p w14:paraId="077994D0">
            <w:pPr>
              <w:pStyle w:val="19"/>
              <w:bidi w:val="0"/>
              <w:jc w:val="center"/>
              <w:rPr>
                <w:rFonts w:hint="eastAsia"/>
                <w:highlight w:val="none"/>
                <w:lang w:val="en-US" w:eastAsia="zh-CN"/>
              </w:rPr>
            </w:pPr>
            <w:r>
              <w:rPr>
                <w:rFonts w:hint="eastAsia"/>
                <w:highlight w:val="none"/>
                <w:lang w:val="en-US" w:eastAsia="zh-CN"/>
              </w:rPr>
              <w:t>3</w:t>
            </w:r>
          </w:p>
        </w:tc>
        <w:tc>
          <w:tcPr>
            <w:tcW w:w="948" w:type="dxa"/>
            <w:vAlign w:val="center"/>
          </w:tcPr>
          <w:p w14:paraId="07520B18">
            <w:pPr>
              <w:pStyle w:val="19"/>
              <w:bidi w:val="0"/>
              <w:jc w:val="center"/>
              <w:rPr>
                <w:rFonts w:hint="eastAsia"/>
                <w:highlight w:val="none"/>
                <w:lang w:val="en-US" w:eastAsia="zh-CN"/>
              </w:rPr>
            </w:pPr>
            <w:r>
              <w:rPr>
                <w:rFonts w:hint="eastAsia"/>
                <w:highlight w:val="none"/>
                <w:lang w:val="en-US" w:eastAsia="zh-CN"/>
              </w:rPr>
              <w:t>3</w:t>
            </w:r>
          </w:p>
        </w:tc>
      </w:tr>
      <w:tr w14:paraId="702AF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vAlign w:val="center"/>
          </w:tcPr>
          <w:p w14:paraId="6C2C88B2">
            <w:pPr>
              <w:pStyle w:val="19"/>
              <w:bidi w:val="0"/>
              <w:jc w:val="center"/>
              <w:rPr>
                <w:rFonts w:hint="eastAsia"/>
                <w:highlight w:val="none"/>
                <w:lang w:val="en-US" w:eastAsia="zh-CN"/>
              </w:rPr>
            </w:pPr>
          </w:p>
        </w:tc>
        <w:tc>
          <w:tcPr>
            <w:tcW w:w="1048" w:type="dxa"/>
            <w:vMerge w:val="continue"/>
            <w:vAlign w:val="center"/>
          </w:tcPr>
          <w:p w14:paraId="766F4F92">
            <w:pPr>
              <w:pStyle w:val="19"/>
              <w:bidi w:val="0"/>
              <w:jc w:val="center"/>
              <w:rPr>
                <w:rFonts w:hint="eastAsia"/>
                <w:highlight w:val="none"/>
                <w:lang w:val="en-US" w:eastAsia="zh-CN"/>
              </w:rPr>
            </w:pPr>
          </w:p>
        </w:tc>
        <w:tc>
          <w:tcPr>
            <w:tcW w:w="1217" w:type="dxa"/>
            <w:vMerge w:val="restart"/>
            <w:vAlign w:val="center"/>
          </w:tcPr>
          <w:p w14:paraId="0FBE949F">
            <w:pPr>
              <w:pStyle w:val="19"/>
              <w:bidi w:val="0"/>
              <w:jc w:val="center"/>
              <w:rPr>
                <w:rFonts w:hint="eastAsia"/>
                <w:highlight w:val="none"/>
                <w:lang w:val="en-US" w:eastAsia="zh-CN"/>
              </w:rPr>
            </w:pPr>
            <w:r>
              <w:rPr>
                <w:rFonts w:hint="eastAsia"/>
                <w:highlight w:val="none"/>
                <w:lang w:val="en-US" w:eastAsia="zh-CN"/>
              </w:rPr>
              <w:t>组织实施</w:t>
            </w:r>
          </w:p>
        </w:tc>
        <w:tc>
          <w:tcPr>
            <w:tcW w:w="1035" w:type="dxa"/>
            <w:vMerge w:val="restart"/>
            <w:vAlign w:val="center"/>
          </w:tcPr>
          <w:p w14:paraId="6289EFB9">
            <w:pPr>
              <w:pStyle w:val="19"/>
              <w:bidi w:val="0"/>
              <w:jc w:val="center"/>
              <w:rPr>
                <w:rFonts w:hint="eastAsia"/>
                <w:highlight w:val="none"/>
                <w:lang w:val="en-US" w:eastAsia="zh-CN"/>
              </w:rPr>
            </w:pPr>
            <w:r>
              <w:rPr>
                <w:rFonts w:hint="eastAsia"/>
                <w:highlight w:val="none"/>
                <w:lang w:val="en-US" w:eastAsia="zh-CN"/>
              </w:rPr>
              <w:t>8</w:t>
            </w:r>
          </w:p>
        </w:tc>
        <w:tc>
          <w:tcPr>
            <w:tcW w:w="1988" w:type="dxa"/>
            <w:vAlign w:val="center"/>
          </w:tcPr>
          <w:p w14:paraId="517278DF">
            <w:pPr>
              <w:pStyle w:val="19"/>
              <w:bidi w:val="0"/>
              <w:jc w:val="center"/>
              <w:rPr>
                <w:rFonts w:hint="eastAsia"/>
                <w:highlight w:val="none"/>
                <w:lang w:val="en-US" w:eastAsia="zh-CN"/>
              </w:rPr>
            </w:pPr>
            <w:r>
              <w:rPr>
                <w:rFonts w:hint="eastAsia"/>
                <w:highlight w:val="none"/>
                <w:lang w:val="en-US" w:eastAsia="zh-CN"/>
              </w:rPr>
              <w:t>制度执行有效性</w:t>
            </w:r>
          </w:p>
        </w:tc>
        <w:tc>
          <w:tcPr>
            <w:tcW w:w="900" w:type="dxa"/>
            <w:vAlign w:val="center"/>
          </w:tcPr>
          <w:p w14:paraId="48A722D6">
            <w:pPr>
              <w:pStyle w:val="19"/>
              <w:bidi w:val="0"/>
              <w:jc w:val="center"/>
              <w:rPr>
                <w:rFonts w:hint="eastAsia"/>
                <w:highlight w:val="none"/>
                <w:lang w:val="en-US" w:eastAsia="zh-CN"/>
              </w:rPr>
            </w:pPr>
            <w:r>
              <w:rPr>
                <w:rFonts w:hint="eastAsia"/>
                <w:highlight w:val="none"/>
                <w:lang w:val="en-US" w:eastAsia="zh-CN"/>
              </w:rPr>
              <w:t>3</w:t>
            </w:r>
          </w:p>
        </w:tc>
        <w:tc>
          <w:tcPr>
            <w:tcW w:w="948" w:type="dxa"/>
            <w:vAlign w:val="center"/>
          </w:tcPr>
          <w:p w14:paraId="52E542C8">
            <w:pPr>
              <w:pStyle w:val="19"/>
              <w:bidi w:val="0"/>
              <w:jc w:val="center"/>
              <w:rPr>
                <w:rFonts w:hint="eastAsia"/>
                <w:highlight w:val="none"/>
                <w:lang w:val="en-US" w:eastAsia="zh-CN"/>
              </w:rPr>
            </w:pPr>
            <w:r>
              <w:rPr>
                <w:rFonts w:hint="eastAsia"/>
                <w:highlight w:val="none"/>
                <w:lang w:val="en-US" w:eastAsia="zh-CN"/>
              </w:rPr>
              <w:t>2</w:t>
            </w:r>
          </w:p>
        </w:tc>
      </w:tr>
      <w:tr w14:paraId="77DA9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vAlign w:val="center"/>
          </w:tcPr>
          <w:p w14:paraId="287A580F">
            <w:pPr>
              <w:pStyle w:val="19"/>
              <w:bidi w:val="0"/>
              <w:jc w:val="center"/>
              <w:rPr>
                <w:rFonts w:hint="eastAsia"/>
                <w:highlight w:val="none"/>
                <w:lang w:val="en-US" w:eastAsia="zh-CN"/>
              </w:rPr>
            </w:pPr>
          </w:p>
        </w:tc>
        <w:tc>
          <w:tcPr>
            <w:tcW w:w="1048" w:type="dxa"/>
            <w:vMerge w:val="continue"/>
            <w:vAlign w:val="center"/>
          </w:tcPr>
          <w:p w14:paraId="094A2CAA">
            <w:pPr>
              <w:pStyle w:val="19"/>
              <w:bidi w:val="0"/>
              <w:jc w:val="center"/>
              <w:rPr>
                <w:rFonts w:hint="eastAsia"/>
                <w:highlight w:val="none"/>
                <w:lang w:val="en-US" w:eastAsia="zh-CN"/>
              </w:rPr>
            </w:pPr>
          </w:p>
        </w:tc>
        <w:tc>
          <w:tcPr>
            <w:tcW w:w="1217" w:type="dxa"/>
            <w:vMerge w:val="continue"/>
            <w:vAlign w:val="center"/>
          </w:tcPr>
          <w:p w14:paraId="4D006955">
            <w:pPr>
              <w:pStyle w:val="19"/>
              <w:bidi w:val="0"/>
              <w:jc w:val="center"/>
              <w:rPr>
                <w:rFonts w:hint="eastAsia"/>
                <w:highlight w:val="none"/>
                <w:lang w:val="en-US" w:eastAsia="zh-CN"/>
              </w:rPr>
            </w:pPr>
          </w:p>
        </w:tc>
        <w:tc>
          <w:tcPr>
            <w:tcW w:w="1035" w:type="dxa"/>
            <w:vMerge w:val="continue"/>
            <w:vAlign w:val="center"/>
          </w:tcPr>
          <w:p w14:paraId="4C4E5314">
            <w:pPr>
              <w:pStyle w:val="19"/>
              <w:bidi w:val="0"/>
              <w:jc w:val="center"/>
              <w:rPr>
                <w:rFonts w:hint="eastAsia"/>
                <w:highlight w:val="none"/>
                <w:lang w:val="en-US" w:eastAsia="zh-CN"/>
              </w:rPr>
            </w:pPr>
          </w:p>
        </w:tc>
        <w:tc>
          <w:tcPr>
            <w:tcW w:w="1988" w:type="dxa"/>
            <w:vAlign w:val="center"/>
          </w:tcPr>
          <w:p w14:paraId="68390554">
            <w:pPr>
              <w:pStyle w:val="19"/>
              <w:bidi w:val="0"/>
              <w:jc w:val="center"/>
              <w:rPr>
                <w:rFonts w:hint="eastAsia"/>
                <w:highlight w:val="none"/>
                <w:lang w:val="en-US" w:eastAsia="zh-CN"/>
              </w:rPr>
            </w:pPr>
            <w:r>
              <w:rPr>
                <w:rFonts w:hint="eastAsia"/>
                <w:highlight w:val="none"/>
                <w:lang w:val="en-US" w:eastAsia="zh-CN"/>
              </w:rPr>
              <w:t>项目质量可控性</w:t>
            </w:r>
          </w:p>
        </w:tc>
        <w:tc>
          <w:tcPr>
            <w:tcW w:w="900" w:type="dxa"/>
            <w:vAlign w:val="center"/>
          </w:tcPr>
          <w:p w14:paraId="6F41C49D">
            <w:pPr>
              <w:pStyle w:val="19"/>
              <w:bidi w:val="0"/>
              <w:jc w:val="center"/>
              <w:rPr>
                <w:rFonts w:hint="eastAsia"/>
                <w:highlight w:val="none"/>
                <w:lang w:val="en-US" w:eastAsia="zh-CN"/>
              </w:rPr>
            </w:pPr>
            <w:r>
              <w:rPr>
                <w:rFonts w:hint="eastAsia"/>
                <w:highlight w:val="none"/>
                <w:lang w:val="en-US" w:eastAsia="zh-CN"/>
              </w:rPr>
              <w:t>3</w:t>
            </w:r>
          </w:p>
        </w:tc>
        <w:tc>
          <w:tcPr>
            <w:tcW w:w="948" w:type="dxa"/>
            <w:vAlign w:val="center"/>
          </w:tcPr>
          <w:p w14:paraId="17F4DDCE">
            <w:pPr>
              <w:pStyle w:val="19"/>
              <w:bidi w:val="0"/>
              <w:jc w:val="center"/>
              <w:rPr>
                <w:rFonts w:hint="eastAsia"/>
                <w:highlight w:val="none"/>
                <w:lang w:val="en-US" w:eastAsia="zh-CN"/>
              </w:rPr>
            </w:pPr>
            <w:r>
              <w:rPr>
                <w:rFonts w:hint="eastAsia"/>
                <w:highlight w:val="none"/>
                <w:lang w:val="en-US" w:eastAsia="zh-CN"/>
              </w:rPr>
              <w:t>3</w:t>
            </w:r>
          </w:p>
        </w:tc>
      </w:tr>
      <w:tr w14:paraId="1DAE4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vAlign w:val="center"/>
          </w:tcPr>
          <w:p w14:paraId="10680239">
            <w:pPr>
              <w:pStyle w:val="19"/>
              <w:bidi w:val="0"/>
              <w:jc w:val="center"/>
              <w:rPr>
                <w:rFonts w:hint="eastAsia"/>
                <w:highlight w:val="none"/>
                <w:lang w:val="en-US" w:eastAsia="zh-CN"/>
              </w:rPr>
            </w:pPr>
          </w:p>
        </w:tc>
        <w:tc>
          <w:tcPr>
            <w:tcW w:w="1048" w:type="dxa"/>
            <w:vMerge w:val="continue"/>
            <w:vAlign w:val="center"/>
          </w:tcPr>
          <w:p w14:paraId="633DE542">
            <w:pPr>
              <w:pStyle w:val="19"/>
              <w:bidi w:val="0"/>
              <w:jc w:val="center"/>
              <w:rPr>
                <w:rFonts w:hint="eastAsia"/>
                <w:highlight w:val="none"/>
                <w:lang w:val="en-US" w:eastAsia="zh-CN"/>
              </w:rPr>
            </w:pPr>
          </w:p>
        </w:tc>
        <w:tc>
          <w:tcPr>
            <w:tcW w:w="1217" w:type="dxa"/>
            <w:vMerge w:val="continue"/>
            <w:vAlign w:val="center"/>
          </w:tcPr>
          <w:p w14:paraId="41A18CC1">
            <w:pPr>
              <w:pStyle w:val="19"/>
              <w:bidi w:val="0"/>
              <w:jc w:val="center"/>
              <w:rPr>
                <w:rFonts w:hint="eastAsia"/>
                <w:highlight w:val="none"/>
                <w:lang w:val="en-US" w:eastAsia="zh-CN"/>
              </w:rPr>
            </w:pPr>
          </w:p>
        </w:tc>
        <w:tc>
          <w:tcPr>
            <w:tcW w:w="1035" w:type="dxa"/>
            <w:vMerge w:val="continue"/>
            <w:vAlign w:val="center"/>
          </w:tcPr>
          <w:p w14:paraId="6EA9A524">
            <w:pPr>
              <w:pStyle w:val="19"/>
              <w:bidi w:val="0"/>
              <w:jc w:val="center"/>
              <w:rPr>
                <w:rFonts w:hint="eastAsia"/>
                <w:highlight w:val="none"/>
                <w:lang w:val="en-US" w:eastAsia="zh-CN"/>
              </w:rPr>
            </w:pPr>
          </w:p>
        </w:tc>
        <w:tc>
          <w:tcPr>
            <w:tcW w:w="1988" w:type="dxa"/>
            <w:vAlign w:val="center"/>
          </w:tcPr>
          <w:p w14:paraId="3499204F">
            <w:pPr>
              <w:pStyle w:val="19"/>
              <w:bidi w:val="0"/>
              <w:jc w:val="center"/>
              <w:rPr>
                <w:rFonts w:hint="eastAsia"/>
                <w:highlight w:val="none"/>
                <w:lang w:val="en-US" w:eastAsia="zh-CN"/>
              </w:rPr>
            </w:pPr>
            <w:r>
              <w:rPr>
                <w:rFonts w:hint="eastAsia"/>
                <w:highlight w:val="none"/>
                <w:lang w:val="en-US" w:eastAsia="zh-CN"/>
              </w:rPr>
              <w:t>自评及整改</w:t>
            </w:r>
          </w:p>
        </w:tc>
        <w:tc>
          <w:tcPr>
            <w:tcW w:w="900" w:type="dxa"/>
            <w:vAlign w:val="center"/>
          </w:tcPr>
          <w:p w14:paraId="51E296D0">
            <w:pPr>
              <w:pStyle w:val="19"/>
              <w:bidi w:val="0"/>
              <w:jc w:val="center"/>
              <w:rPr>
                <w:rFonts w:hint="eastAsia"/>
                <w:highlight w:val="none"/>
                <w:lang w:val="en-US" w:eastAsia="zh-CN"/>
              </w:rPr>
            </w:pPr>
            <w:r>
              <w:rPr>
                <w:rFonts w:hint="eastAsia"/>
                <w:highlight w:val="none"/>
                <w:lang w:val="en-US" w:eastAsia="zh-CN"/>
              </w:rPr>
              <w:t>3</w:t>
            </w:r>
          </w:p>
        </w:tc>
        <w:tc>
          <w:tcPr>
            <w:tcW w:w="948" w:type="dxa"/>
            <w:vAlign w:val="center"/>
          </w:tcPr>
          <w:p w14:paraId="447A3041">
            <w:pPr>
              <w:pStyle w:val="19"/>
              <w:bidi w:val="0"/>
              <w:jc w:val="center"/>
              <w:rPr>
                <w:rFonts w:hint="eastAsia"/>
                <w:highlight w:val="none"/>
                <w:lang w:val="en-US" w:eastAsia="zh-CN"/>
              </w:rPr>
            </w:pPr>
            <w:r>
              <w:rPr>
                <w:rFonts w:hint="eastAsia"/>
                <w:highlight w:val="none"/>
                <w:lang w:val="en-US" w:eastAsia="zh-CN"/>
              </w:rPr>
              <w:t>3</w:t>
            </w:r>
          </w:p>
        </w:tc>
      </w:tr>
      <w:tr w14:paraId="268BA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51" w:type="dxa"/>
            <w:gridSpan w:val="3"/>
            <w:vAlign w:val="center"/>
          </w:tcPr>
          <w:p w14:paraId="2EACA456">
            <w:pPr>
              <w:pStyle w:val="19"/>
              <w:bidi w:val="0"/>
              <w:jc w:val="center"/>
              <w:rPr>
                <w:rFonts w:hint="eastAsia"/>
                <w:highlight w:val="none"/>
                <w:lang w:val="en-US" w:eastAsia="zh-CN"/>
              </w:rPr>
            </w:pPr>
            <w:r>
              <w:rPr>
                <w:rFonts w:hint="eastAsia"/>
                <w:highlight w:val="none"/>
                <w:lang w:val="en-US" w:eastAsia="zh-CN"/>
              </w:rPr>
              <w:t>合计</w:t>
            </w:r>
          </w:p>
        </w:tc>
        <w:tc>
          <w:tcPr>
            <w:tcW w:w="1035" w:type="dxa"/>
            <w:vAlign w:val="center"/>
          </w:tcPr>
          <w:p w14:paraId="12D193E2">
            <w:pPr>
              <w:pStyle w:val="19"/>
              <w:bidi w:val="0"/>
              <w:jc w:val="center"/>
              <w:rPr>
                <w:rFonts w:hint="eastAsia"/>
                <w:highlight w:val="none"/>
                <w:lang w:val="en-US" w:eastAsia="zh-CN"/>
              </w:rPr>
            </w:pPr>
            <w:r>
              <w:rPr>
                <w:rFonts w:hint="eastAsia"/>
                <w:highlight w:val="none"/>
                <w:lang w:val="en-US" w:eastAsia="zh-CN"/>
              </w:rPr>
              <w:t>20</w:t>
            </w:r>
          </w:p>
        </w:tc>
        <w:tc>
          <w:tcPr>
            <w:tcW w:w="1988" w:type="dxa"/>
            <w:vAlign w:val="center"/>
          </w:tcPr>
          <w:p w14:paraId="2FF05B6A">
            <w:pPr>
              <w:pStyle w:val="19"/>
              <w:bidi w:val="0"/>
              <w:jc w:val="center"/>
              <w:rPr>
                <w:rFonts w:hint="eastAsia"/>
                <w:highlight w:val="none"/>
                <w:lang w:val="en-US" w:eastAsia="zh-CN"/>
              </w:rPr>
            </w:pPr>
          </w:p>
        </w:tc>
        <w:tc>
          <w:tcPr>
            <w:tcW w:w="900" w:type="dxa"/>
            <w:vAlign w:val="center"/>
          </w:tcPr>
          <w:p w14:paraId="030C0AAF">
            <w:pPr>
              <w:pStyle w:val="19"/>
              <w:bidi w:val="0"/>
              <w:jc w:val="center"/>
              <w:rPr>
                <w:rFonts w:hint="eastAsia"/>
                <w:highlight w:val="none"/>
                <w:lang w:val="en-US" w:eastAsia="zh-CN"/>
              </w:rPr>
            </w:pPr>
            <w:r>
              <w:rPr>
                <w:rFonts w:hint="eastAsia"/>
                <w:highlight w:val="none"/>
                <w:lang w:val="en-US" w:eastAsia="zh-CN"/>
              </w:rPr>
              <w:t>20</w:t>
            </w:r>
          </w:p>
        </w:tc>
        <w:tc>
          <w:tcPr>
            <w:tcW w:w="948" w:type="dxa"/>
            <w:vAlign w:val="center"/>
          </w:tcPr>
          <w:p w14:paraId="7347A98A">
            <w:pPr>
              <w:pStyle w:val="19"/>
              <w:bidi w:val="0"/>
              <w:jc w:val="center"/>
              <w:rPr>
                <w:rFonts w:hint="default"/>
                <w:highlight w:val="none"/>
                <w:lang w:val="en-US" w:eastAsia="zh-CN"/>
              </w:rPr>
            </w:pPr>
            <w:r>
              <w:rPr>
                <w:rFonts w:hint="eastAsia"/>
                <w:highlight w:val="none"/>
                <w:lang w:val="en-US" w:eastAsia="zh-CN"/>
              </w:rPr>
              <w:t>19</w:t>
            </w:r>
          </w:p>
        </w:tc>
      </w:tr>
    </w:tbl>
    <w:p w14:paraId="7324BF89">
      <w:pPr>
        <w:rPr>
          <w:rFonts w:hint="eastAsia" w:ascii="仿宋_GB2312" w:hAnsi="仿宋_GB2312" w:eastAsia="仿宋_GB2312" w:cs="仿宋_GB2312"/>
          <w:highlight w:val="none"/>
          <w:lang w:val="en-US" w:eastAsia="zh-CN"/>
        </w:rPr>
      </w:pPr>
    </w:p>
    <w:p w14:paraId="5D4D424C">
      <w:pPr>
        <w:rPr>
          <w:rFonts w:hint="eastAsia"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对于“资金到位率”：</w:t>
      </w:r>
      <w:r>
        <w:rPr>
          <w:rFonts w:hint="eastAsia" w:ascii="仿宋_GB2312" w:hAnsi="仿宋_GB2312" w:eastAsia="仿宋_GB2312" w:cs="仿宋_GB2312"/>
          <w:b w:val="0"/>
          <w:bCs w:val="0"/>
          <w:highlight w:val="none"/>
          <w:lang w:val="en-US" w:eastAsia="zh-CN"/>
        </w:rPr>
        <w:t>依据项目明细账、记账凭证和其他资料查证分析，项目 2024 年申请超长期特别国债 390 万元，实际到位 390 万元，资金到位率为100%。综上所述，该指标满分 2 分，得分 2 分。</w:t>
      </w:r>
    </w:p>
    <w:p w14:paraId="4A334EA2">
      <w:pPr>
        <w:rPr>
          <w:rFonts w:hint="eastAsia"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对于“预算执行率”：</w:t>
      </w:r>
      <w:r>
        <w:rPr>
          <w:rFonts w:hint="eastAsia" w:ascii="仿宋_GB2312" w:hAnsi="仿宋_GB2312" w:eastAsia="仿宋_GB2312" w:cs="仿宋_GB2312"/>
          <w:b w:val="0"/>
          <w:bCs w:val="0"/>
          <w:highlight w:val="none"/>
          <w:lang w:val="en-US" w:eastAsia="zh-CN"/>
        </w:rPr>
        <w:t>项目 2024 年实际到位资金 390 万元， 截至 2024 年 12 月 31 日，支出 390 万元，预算执行率为 100%。综上所述，该指标满分 3 分，得分 3 分。</w:t>
      </w:r>
    </w:p>
    <w:p w14:paraId="454397B4">
      <w:pPr>
        <w:rPr>
          <w:rFonts w:hint="eastAsia"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对于“资金使用合规性”：</w:t>
      </w:r>
      <w:r>
        <w:rPr>
          <w:rFonts w:hint="eastAsia" w:ascii="仿宋_GB2312" w:hAnsi="仿宋_GB2312" w:eastAsia="仿宋_GB2312" w:cs="仿宋_GB2312"/>
          <w:b w:val="0"/>
          <w:bCs w:val="0"/>
          <w:highlight w:val="none"/>
          <w:lang w:val="en-US" w:eastAsia="zh-CN"/>
        </w:rPr>
        <w:t>经核查，项目资金支付符合财经法规和专项资金管理办法；资金的拨付有完整的审批程序和手续；资金支持方向符合项目预算批复的用途；不存在截留、挤占、挪用、虚列支出等情况</w:t>
      </w:r>
      <w:r>
        <w:rPr>
          <w:rFonts w:hint="eastAsia" w:cs="仿宋_GB2312"/>
          <w:b w:val="0"/>
          <w:bCs w:val="0"/>
          <w:highlight w:val="none"/>
          <w:lang w:val="en-US" w:eastAsia="zh-CN"/>
        </w:rPr>
        <w:t>。</w:t>
      </w:r>
      <w:r>
        <w:rPr>
          <w:rFonts w:hint="eastAsia" w:ascii="仿宋_GB2312" w:hAnsi="仿宋_GB2312" w:eastAsia="仿宋_GB2312" w:cs="仿宋_GB2312"/>
          <w:b w:val="0"/>
          <w:bCs w:val="0"/>
          <w:highlight w:val="none"/>
          <w:lang w:val="en-US" w:eastAsia="zh-CN"/>
        </w:rPr>
        <w:t>综上所述，该指标满分 3 分，得分 3 分。</w:t>
      </w:r>
    </w:p>
    <w:p w14:paraId="68CEA073">
      <w:pPr>
        <w:rPr>
          <w:rFonts w:hint="eastAsia"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对于“管理制度健全性”：</w:t>
      </w:r>
      <w:r>
        <w:rPr>
          <w:rFonts w:hint="eastAsia" w:ascii="仿宋_GB2312" w:hAnsi="仿宋_GB2312" w:eastAsia="仿宋_GB2312" w:cs="仿宋_GB2312"/>
          <w:b w:val="0"/>
          <w:bCs w:val="0"/>
          <w:highlight w:val="none"/>
          <w:lang w:val="en-US" w:eastAsia="zh-CN"/>
        </w:rPr>
        <w:t>经核查，克拉玛依区住房和城乡建设局已制定相应的财务和业务管理制度，由于高层住宅换电梯目前尚无统一的指导性政策，制定了《克拉玛依区老旧住宅电梯更新实施方案》《电梯更新政策解释》；财务和业务管理制度合法、合规、完整。综上所述，该指标满分 3 分，得分 3 分。</w:t>
      </w:r>
    </w:p>
    <w:p w14:paraId="6AD940FE">
      <w:pPr>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bCs/>
          <w:highlight w:val="none"/>
          <w:lang w:val="en-US" w:eastAsia="zh-CN"/>
        </w:rPr>
        <w:t>对于“制度执行有效性”</w:t>
      </w:r>
      <w:r>
        <w:rPr>
          <w:rFonts w:hint="eastAsia" w:cs="仿宋_GB2312"/>
          <w:b w:val="0"/>
          <w:bCs w:val="0"/>
          <w:highlight w:val="none"/>
          <w:lang w:val="en-US" w:eastAsia="zh-CN"/>
        </w:rPr>
        <w:t>：</w:t>
      </w:r>
      <w:r>
        <w:rPr>
          <w:rFonts w:hint="eastAsia"/>
          <w:b w:val="0"/>
          <w:bCs w:val="0"/>
          <w:highlight w:val="none"/>
          <w:lang w:val="en-US" w:eastAsia="zh-CN"/>
        </w:rPr>
        <w:t>计划工期与实际工期差距较大</w:t>
      </w:r>
      <w:r>
        <w:rPr>
          <w:rFonts w:hint="eastAsia" w:ascii="仿宋_GB2312" w:hAnsi="仿宋_GB2312" w:eastAsia="仿宋_GB2312" w:cs="仿宋_GB2312"/>
          <w:b w:val="0"/>
          <w:bCs w:val="0"/>
          <w:highlight w:val="none"/>
          <w:lang w:val="en-US" w:eastAsia="zh-CN"/>
        </w:rPr>
        <w:t>项目管理制度执行有缺陷。综上所述，该指标满分 3 分，扣 1 分，得分 2 分。</w:t>
      </w:r>
    </w:p>
    <w:p w14:paraId="44462213">
      <w:pPr>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bCs/>
          <w:highlight w:val="none"/>
          <w:lang w:val="en-US" w:eastAsia="zh-CN"/>
        </w:rPr>
        <w:t>对于“项目质量可控性”：</w:t>
      </w:r>
      <w:r>
        <w:rPr>
          <w:rFonts w:hint="eastAsia" w:ascii="仿宋_GB2312" w:hAnsi="仿宋_GB2312" w:eastAsia="仿宋_GB2312" w:cs="仿宋_GB2312"/>
          <w:b w:val="0"/>
          <w:bCs w:val="0"/>
          <w:highlight w:val="none"/>
          <w:lang w:val="en-US" w:eastAsia="zh-CN"/>
        </w:rPr>
        <w:t>经核查，①质控措施已落实，责任主体明确；②抽查区域内质控工作相关档案齐全、规范。综上所述，该指标满分 3 分，得分 3 分</w:t>
      </w:r>
      <w:r>
        <w:rPr>
          <w:rFonts w:hint="eastAsia" w:ascii="仿宋_GB2312" w:hAnsi="仿宋_GB2312" w:eastAsia="仿宋_GB2312" w:cs="仿宋_GB2312"/>
          <w:b w:val="0"/>
          <w:bCs w:val="0"/>
          <w:highlight w:val="none"/>
          <w:lang w:val="en-US" w:eastAsia="zh-CN"/>
        </w:rPr>
        <w:t>。</w:t>
      </w:r>
    </w:p>
    <w:p w14:paraId="47EA21FD">
      <w:pPr>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bCs/>
          <w:highlight w:val="none"/>
          <w:lang w:val="en-US" w:eastAsia="zh-CN"/>
        </w:rPr>
        <w:t>对于“自评及整改”：</w:t>
      </w:r>
      <w:r>
        <w:rPr>
          <w:rFonts w:hint="eastAsia" w:ascii="仿宋_GB2312" w:hAnsi="仿宋_GB2312" w:eastAsia="仿宋_GB2312" w:cs="仿宋_GB2312"/>
          <w:b w:val="0"/>
          <w:bCs w:val="0"/>
          <w:highlight w:val="none"/>
          <w:lang w:val="en-US" w:eastAsia="zh-CN"/>
        </w:rPr>
        <w:t>经核查，克拉玛依区住房和城乡建设局已按照预算绩效管理要求编制项目支出绩效自评表，综上所述，该指标满分 3 分，得分 3 分。</w:t>
      </w:r>
    </w:p>
    <w:p w14:paraId="4B8F2E20">
      <w:pPr>
        <w:pStyle w:val="5"/>
        <w:numPr>
          <w:ilvl w:val="0"/>
          <w:numId w:val="23"/>
        </w:numPr>
        <w:bidi w:val="0"/>
        <w:ind w:left="420" w:leftChars="0" w:firstLine="218" w:firstLineChars="68"/>
        <w:rPr>
          <w:rFonts w:hint="eastAsia"/>
          <w:highlight w:val="none"/>
          <w:lang w:val="en-US" w:eastAsia="zh-CN"/>
        </w:rPr>
      </w:pPr>
      <w:bookmarkStart w:id="176" w:name="_Toc23286"/>
      <w:bookmarkStart w:id="177" w:name="_Toc12280"/>
      <w:bookmarkStart w:id="178" w:name="_Toc18986"/>
      <w:r>
        <w:rPr>
          <w:rFonts w:hint="eastAsia"/>
          <w:highlight w:val="none"/>
          <w:lang w:val="en-US" w:eastAsia="zh-CN"/>
        </w:rPr>
        <w:t>产出情况分析</w:t>
      </w:r>
      <w:bookmarkEnd w:id="176"/>
      <w:bookmarkEnd w:id="177"/>
      <w:bookmarkEnd w:id="178"/>
    </w:p>
    <w:p w14:paraId="7B2300BF">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项目产出类指标是从数量指标、质量指标、时效指标和成本指标四个方面来对项目实施进行考察，项目产出类指标分值 40 分，实际得分 </w:t>
      </w:r>
      <w:r>
        <w:rPr>
          <w:rFonts w:hint="eastAsia" w:cs="仿宋_GB2312"/>
          <w:highlight w:val="none"/>
          <w:lang w:val="en-US" w:eastAsia="zh-CN"/>
        </w:rPr>
        <w:t>39</w:t>
      </w:r>
      <w:r>
        <w:rPr>
          <w:rFonts w:hint="eastAsia" w:ascii="仿宋_GB2312" w:hAnsi="仿宋_GB2312" w:eastAsia="仿宋_GB2312" w:cs="仿宋_GB2312"/>
          <w:highlight w:val="none"/>
          <w:lang w:val="en-US" w:eastAsia="zh-CN"/>
        </w:rPr>
        <w:t xml:space="preserve"> 分。指标的得分情况如表所示：</w:t>
      </w:r>
    </w:p>
    <w:p w14:paraId="2189CFE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b/>
          <w:bCs/>
          <w:sz w:val="24"/>
          <w:szCs w:val="24"/>
          <w:highlight w:val="none"/>
          <w:lang w:val="en-US" w:eastAsia="zh-CN"/>
        </w:rPr>
        <w:t>表</w:t>
      </w:r>
      <w:r>
        <w:rPr>
          <w:rFonts w:hint="eastAsia" w:cs="仿宋_GB2312"/>
          <w:b/>
          <w:bCs/>
          <w:sz w:val="24"/>
          <w:szCs w:val="24"/>
          <w:highlight w:val="none"/>
          <w:lang w:val="en-US" w:eastAsia="zh-CN"/>
        </w:rPr>
        <w:t>4</w:t>
      </w:r>
      <w:r>
        <w:rPr>
          <w:rFonts w:hint="eastAsia" w:ascii="仿宋_GB2312" w:hAnsi="仿宋_GB2312" w:eastAsia="仿宋_GB2312" w:cs="仿宋_GB2312"/>
          <w:b/>
          <w:bCs/>
          <w:sz w:val="24"/>
          <w:szCs w:val="24"/>
          <w:highlight w:val="none"/>
          <w:lang w:val="en-US" w:eastAsia="zh-CN"/>
        </w:rPr>
        <w:t>-</w:t>
      </w:r>
      <w:r>
        <w:rPr>
          <w:rFonts w:hint="eastAsia" w:cs="仿宋_GB2312"/>
          <w:b/>
          <w:bCs/>
          <w:sz w:val="24"/>
          <w:szCs w:val="24"/>
          <w:highlight w:val="none"/>
          <w:lang w:val="en-US" w:eastAsia="zh-CN"/>
        </w:rPr>
        <w:t xml:space="preserve">3 </w:t>
      </w:r>
      <w:r>
        <w:rPr>
          <w:rFonts w:hint="eastAsia" w:ascii="仿宋_GB2312" w:hAnsi="仿宋_GB2312" w:eastAsia="仿宋_GB2312" w:cs="仿宋_GB2312"/>
          <w:b/>
          <w:bCs/>
          <w:sz w:val="24"/>
          <w:szCs w:val="24"/>
          <w:highlight w:val="none"/>
          <w:lang w:val="en-US" w:eastAsia="zh-CN"/>
        </w:rPr>
        <w:t>项目</w:t>
      </w:r>
      <w:r>
        <w:rPr>
          <w:rFonts w:hint="eastAsia" w:cs="仿宋_GB2312"/>
          <w:b/>
          <w:bCs/>
          <w:sz w:val="24"/>
          <w:szCs w:val="24"/>
          <w:highlight w:val="none"/>
          <w:lang w:val="en-US" w:eastAsia="zh-CN"/>
        </w:rPr>
        <w:t>产出得分情况</w:t>
      </w:r>
      <w:r>
        <w:rPr>
          <w:rFonts w:hint="eastAsia" w:ascii="仿宋_GB2312" w:hAnsi="仿宋_GB2312" w:eastAsia="仿宋_GB2312" w:cs="仿宋_GB2312"/>
          <w:b/>
          <w:bCs/>
          <w:sz w:val="24"/>
          <w:szCs w:val="24"/>
          <w:highlight w:val="none"/>
          <w:lang w:val="en-US" w:eastAsia="zh-CN"/>
        </w:rPr>
        <w:t>表</w:t>
      </w:r>
    </w:p>
    <w:tbl>
      <w:tblPr>
        <w:tblStyle w:val="18"/>
        <w:tblW w:w="829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35"/>
        <w:gridCol w:w="2131"/>
        <w:gridCol w:w="3264"/>
        <w:gridCol w:w="855"/>
        <w:gridCol w:w="512"/>
      </w:tblGrid>
      <w:tr w14:paraId="1974B9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1535" w:type="dxa"/>
            <w:shd w:val="clear" w:color="auto" w:fill="D7D7D7" w:themeFill="background1" w:themeFillShade="D8"/>
            <w:vAlign w:val="center"/>
          </w:tcPr>
          <w:p w14:paraId="3D29601A">
            <w:pPr>
              <w:pStyle w:val="19"/>
              <w:bidi w:val="0"/>
              <w:jc w:val="center"/>
              <w:rPr>
                <w:rFonts w:hint="eastAsia"/>
                <w:highlight w:val="none"/>
              </w:rPr>
            </w:pPr>
            <w:r>
              <w:rPr>
                <w:rFonts w:hint="eastAsia"/>
                <w:highlight w:val="none"/>
              </w:rPr>
              <w:t>一级指标</w:t>
            </w:r>
          </w:p>
        </w:tc>
        <w:tc>
          <w:tcPr>
            <w:tcW w:w="2131" w:type="dxa"/>
            <w:shd w:val="clear" w:color="auto" w:fill="D7D7D7" w:themeFill="background1" w:themeFillShade="D8"/>
            <w:vAlign w:val="center"/>
          </w:tcPr>
          <w:p w14:paraId="324C8D54">
            <w:pPr>
              <w:pStyle w:val="19"/>
              <w:bidi w:val="0"/>
              <w:jc w:val="center"/>
              <w:rPr>
                <w:rFonts w:hint="eastAsia"/>
                <w:highlight w:val="none"/>
              </w:rPr>
            </w:pPr>
            <w:r>
              <w:rPr>
                <w:rFonts w:hint="eastAsia"/>
                <w:highlight w:val="none"/>
              </w:rPr>
              <w:t>二级指标</w:t>
            </w:r>
          </w:p>
        </w:tc>
        <w:tc>
          <w:tcPr>
            <w:tcW w:w="3264" w:type="dxa"/>
            <w:shd w:val="clear" w:color="auto" w:fill="D7D7D7" w:themeFill="background1" w:themeFillShade="D8"/>
            <w:vAlign w:val="center"/>
          </w:tcPr>
          <w:p w14:paraId="5642EBA5">
            <w:pPr>
              <w:pStyle w:val="19"/>
              <w:bidi w:val="0"/>
              <w:jc w:val="center"/>
              <w:rPr>
                <w:rFonts w:hint="eastAsia"/>
                <w:highlight w:val="none"/>
              </w:rPr>
            </w:pPr>
            <w:r>
              <w:rPr>
                <w:rFonts w:hint="eastAsia"/>
                <w:highlight w:val="none"/>
              </w:rPr>
              <w:t>三级指标</w:t>
            </w:r>
          </w:p>
        </w:tc>
        <w:tc>
          <w:tcPr>
            <w:tcW w:w="855" w:type="dxa"/>
            <w:shd w:val="clear" w:color="auto" w:fill="D7D7D7" w:themeFill="background1" w:themeFillShade="D8"/>
            <w:vAlign w:val="center"/>
          </w:tcPr>
          <w:p w14:paraId="3D81E250">
            <w:pPr>
              <w:pStyle w:val="19"/>
              <w:bidi w:val="0"/>
              <w:jc w:val="center"/>
              <w:rPr>
                <w:rFonts w:hint="eastAsia"/>
                <w:highlight w:val="none"/>
              </w:rPr>
            </w:pPr>
            <w:r>
              <w:rPr>
                <w:rFonts w:hint="eastAsia"/>
                <w:highlight w:val="none"/>
              </w:rPr>
              <w:t>分值</w:t>
            </w:r>
          </w:p>
        </w:tc>
        <w:tc>
          <w:tcPr>
            <w:tcW w:w="512" w:type="dxa"/>
            <w:shd w:val="clear" w:color="auto" w:fill="D7D7D7" w:themeFill="background1" w:themeFillShade="D8"/>
            <w:vAlign w:val="center"/>
          </w:tcPr>
          <w:p w14:paraId="21537B36">
            <w:pPr>
              <w:pStyle w:val="19"/>
              <w:bidi w:val="0"/>
              <w:jc w:val="center"/>
              <w:rPr>
                <w:rFonts w:hint="eastAsia"/>
                <w:highlight w:val="none"/>
              </w:rPr>
            </w:pPr>
            <w:r>
              <w:rPr>
                <w:rFonts w:hint="eastAsia"/>
                <w:highlight w:val="none"/>
              </w:rPr>
              <w:t>得分</w:t>
            </w:r>
          </w:p>
        </w:tc>
      </w:tr>
      <w:tr w14:paraId="06CAF8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1535" w:type="dxa"/>
            <w:vMerge w:val="restart"/>
            <w:vAlign w:val="center"/>
          </w:tcPr>
          <w:p w14:paraId="1E63B298">
            <w:pPr>
              <w:pStyle w:val="19"/>
              <w:bidi w:val="0"/>
              <w:jc w:val="center"/>
              <w:rPr>
                <w:rFonts w:hint="eastAsia"/>
                <w:highlight w:val="none"/>
              </w:rPr>
            </w:pPr>
            <w:r>
              <w:rPr>
                <w:rFonts w:hint="eastAsia"/>
                <w:highlight w:val="none"/>
              </w:rPr>
              <w:t>项目产出</w:t>
            </w:r>
          </w:p>
        </w:tc>
        <w:tc>
          <w:tcPr>
            <w:tcW w:w="2131" w:type="dxa"/>
            <w:vAlign w:val="center"/>
          </w:tcPr>
          <w:p w14:paraId="46E9FC4A">
            <w:pPr>
              <w:pStyle w:val="19"/>
              <w:bidi w:val="0"/>
              <w:jc w:val="center"/>
              <w:rPr>
                <w:rFonts w:hint="eastAsia"/>
                <w:highlight w:val="none"/>
              </w:rPr>
            </w:pPr>
            <w:r>
              <w:rPr>
                <w:rFonts w:hint="eastAsia"/>
                <w:highlight w:val="none"/>
              </w:rPr>
              <w:t>数量指标</w:t>
            </w:r>
          </w:p>
        </w:tc>
        <w:tc>
          <w:tcPr>
            <w:tcW w:w="3264" w:type="dxa"/>
            <w:vAlign w:val="center"/>
          </w:tcPr>
          <w:p w14:paraId="09569D76">
            <w:pPr>
              <w:pStyle w:val="19"/>
              <w:bidi w:val="0"/>
              <w:jc w:val="center"/>
              <w:rPr>
                <w:rFonts w:hint="eastAsia"/>
                <w:highlight w:val="none"/>
              </w:rPr>
            </w:pPr>
            <w:r>
              <w:rPr>
                <w:rFonts w:hint="eastAsia"/>
                <w:highlight w:val="none"/>
                <w:lang w:val="en-US" w:eastAsia="zh-CN"/>
              </w:rPr>
              <w:t>设备购买数量</w:t>
            </w:r>
          </w:p>
        </w:tc>
        <w:tc>
          <w:tcPr>
            <w:tcW w:w="855" w:type="dxa"/>
            <w:vAlign w:val="center"/>
          </w:tcPr>
          <w:p w14:paraId="7D4B6F3A">
            <w:pPr>
              <w:pStyle w:val="19"/>
              <w:bidi w:val="0"/>
              <w:jc w:val="center"/>
              <w:rPr>
                <w:rFonts w:hint="eastAsia"/>
                <w:highlight w:val="none"/>
                <w:lang w:val="en-US" w:eastAsia="zh-CN"/>
              </w:rPr>
            </w:pPr>
            <w:r>
              <w:rPr>
                <w:rFonts w:hint="eastAsia"/>
                <w:highlight w:val="none"/>
                <w:lang w:val="en-US" w:eastAsia="zh-CN"/>
              </w:rPr>
              <w:t>7</w:t>
            </w:r>
          </w:p>
        </w:tc>
        <w:tc>
          <w:tcPr>
            <w:tcW w:w="512" w:type="dxa"/>
            <w:vAlign w:val="center"/>
          </w:tcPr>
          <w:p w14:paraId="14E1701E">
            <w:pPr>
              <w:pStyle w:val="19"/>
              <w:bidi w:val="0"/>
              <w:jc w:val="center"/>
              <w:rPr>
                <w:rFonts w:hint="eastAsia"/>
                <w:highlight w:val="none"/>
                <w:lang w:val="en-US" w:eastAsia="zh-CN"/>
              </w:rPr>
            </w:pPr>
            <w:r>
              <w:rPr>
                <w:rFonts w:hint="eastAsia"/>
                <w:highlight w:val="none"/>
                <w:lang w:val="en-US" w:eastAsia="zh-CN"/>
              </w:rPr>
              <w:t>7</w:t>
            </w:r>
          </w:p>
        </w:tc>
      </w:tr>
      <w:tr w14:paraId="569F75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1535" w:type="dxa"/>
            <w:vMerge w:val="continue"/>
            <w:vAlign w:val="center"/>
          </w:tcPr>
          <w:p w14:paraId="5A3A28A8">
            <w:pPr>
              <w:pStyle w:val="19"/>
              <w:bidi w:val="0"/>
              <w:jc w:val="center"/>
              <w:rPr>
                <w:rFonts w:hint="eastAsia"/>
                <w:highlight w:val="none"/>
              </w:rPr>
            </w:pPr>
          </w:p>
        </w:tc>
        <w:tc>
          <w:tcPr>
            <w:tcW w:w="2131" w:type="dxa"/>
            <w:vMerge w:val="restart"/>
            <w:vAlign w:val="center"/>
          </w:tcPr>
          <w:p w14:paraId="7AFA6992">
            <w:pPr>
              <w:pStyle w:val="19"/>
              <w:bidi w:val="0"/>
              <w:jc w:val="center"/>
              <w:rPr>
                <w:rFonts w:hint="eastAsia"/>
                <w:highlight w:val="none"/>
              </w:rPr>
            </w:pPr>
            <w:r>
              <w:rPr>
                <w:rFonts w:hint="eastAsia"/>
                <w:highlight w:val="none"/>
              </w:rPr>
              <w:t>质量指标</w:t>
            </w:r>
          </w:p>
        </w:tc>
        <w:tc>
          <w:tcPr>
            <w:tcW w:w="3264" w:type="dxa"/>
            <w:vAlign w:val="center"/>
          </w:tcPr>
          <w:p w14:paraId="0F00EEE0">
            <w:pPr>
              <w:pStyle w:val="19"/>
              <w:bidi w:val="0"/>
              <w:jc w:val="center"/>
              <w:rPr>
                <w:rFonts w:hint="eastAsia"/>
                <w:highlight w:val="none"/>
              </w:rPr>
            </w:pPr>
            <w:r>
              <w:rPr>
                <w:rFonts w:hint="eastAsia"/>
                <w:highlight w:val="none"/>
                <w:lang w:val="en-US" w:eastAsia="zh-CN"/>
              </w:rPr>
              <w:t>项目验收合格率</w:t>
            </w:r>
          </w:p>
        </w:tc>
        <w:tc>
          <w:tcPr>
            <w:tcW w:w="855" w:type="dxa"/>
            <w:vAlign w:val="center"/>
          </w:tcPr>
          <w:p w14:paraId="7FFB9EB7">
            <w:pPr>
              <w:pStyle w:val="19"/>
              <w:bidi w:val="0"/>
              <w:jc w:val="center"/>
              <w:rPr>
                <w:rFonts w:hint="eastAsia"/>
                <w:highlight w:val="none"/>
                <w:lang w:val="en-US" w:eastAsia="zh-CN"/>
              </w:rPr>
            </w:pPr>
            <w:r>
              <w:rPr>
                <w:rFonts w:hint="eastAsia"/>
                <w:highlight w:val="none"/>
                <w:lang w:val="en-US" w:eastAsia="zh-CN"/>
              </w:rPr>
              <w:t>7</w:t>
            </w:r>
          </w:p>
        </w:tc>
        <w:tc>
          <w:tcPr>
            <w:tcW w:w="512" w:type="dxa"/>
            <w:vAlign w:val="center"/>
          </w:tcPr>
          <w:p w14:paraId="265D7873">
            <w:pPr>
              <w:pStyle w:val="19"/>
              <w:bidi w:val="0"/>
              <w:jc w:val="center"/>
              <w:rPr>
                <w:rFonts w:hint="eastAsia"/>
                <w:highlight w:val="none"/>
                <w:lang w:val="en-US" w:eastAsia="zh-CN"/>
              </w:rPr>
            </w:pPr>
            <w:r>
              <w:rPr>
                <w:rFonts w:hint="eastAsia"/>
                <w:highlight w:val="none"/>
                <w:lang w:val="en-US" w:eastAsia="zh-CN"/>
              </w:rPr>
              <w:t>7</w:t>
            </w:r>
          </w:p>
        </w:tc>
      </w:tr>
      <w:tr w14:paraId="5AA751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1535" w:type="dxa"/>
            <w:vMerge w:val="continue"/>
            <w:vAlign w:val="center"/>
          </w:tcPr>
          <w:p w14:paraId="5E12C4A8">
            <w:pPr>
              <w:pStyle w:val="19"/>
              <w:bidi w:val="0"/>
              <w:jc w:val="center"/>
              <w:rPr>
                <w:rFonts w:hint="eastAsia"/>
                <w:highlight w:val="none"/>
              </w:rPr>
            </w:pPr>
          </w:p>
        </w:tc>
        <w:tc>
          <w:tcPr>
            <w:tcW w:w="2131" w:type="dxa"/>
            <w:vMerge w:val="continue"/>
            <w:vAlign w:val="center"/>
          </w:tcPr>
          <w:p w14:paraId="1F337D05">
            <w:pPr>
              <w:pStyle w:val="19"/>
              <w:bidi w:val="0"/>
              <w:jc w:val="center"/>
              <w:rPr>
                <w:rFonts w:hint="eastAsia"/>
                <w:highlight w:val="none"/>
              </w:rPr>
            </w:pPr>
          </w:p>
        </w:tc>
        <w:tc>
          <w:tcPr>
            <w:tcW w:w="3264" w:type="dxa"/>
            <w:vAlign w:val="center"/>
          </w:tcPr>
          <w:p w14:paraId="0B040B09">
            <w:pPr>
              <w:pStyle w:val="19"/>
              <w:bidi w:val="0"/>
              <w:jc w:val="center"/>
              <w:rPr>
                <w:rFonts w:hint="eastAsia"/>
                <w:highlight w:val="none"/>
              </w:rPr>
            </w:pPr>
            <w:r>
              <w:rPr>
                <w:rFonts w:hint="eastAsia"/>
                <w:highlight w:val="none"/>
                <w:lang w:val="en-US" w:eastAsia="zh-CN"/>
              </w:rPr>
              <w:t>政府采购率</w:t>
            </w:r>
          </w:p>
        </w:tc>
        <w:tc>
          <w:tcPr>
            <w:tcW w:w="855" w:type="dxa"/>
            <w:vAlign w:val="center"/>
          </w:tcPr>
          <w:p w14:paraId="23494CC2">
            <w:pPr>
              <w:pStyle w:val="19"/>
              <w:bidi w:val="0"/>
              <w:jc w:val="center"/>
              <w:rPr>
                <w:rFonts w:hint="eastAsia"/>
                <w:highlight w:val="none"/>
                <w:lang w:val="en-US" w:eastAsia="zh-CN"/>
              </w:rPr>
            </w:pPr>
            <w:r>
              <w:rPr>
                <w:rFonts w:hint="eastAsia"/>
                <w:highlight w:val="none"/>
                <w:lang w:val="en-US" w:eastAsia="zh-CN"/>
              </w:rPr>
              <w:t>7</w:t>
            </w:r>
          </w:p>
        </w:tc>
        <w:tc>
          <w:tcPr>
            <w:tcW w:w="512" w:type="dxa"/>
            <w:vAlign w:val="center"/>
          </w:tcPr>
          <w:p w14:paraId="278B7169">
            <w:pPr>
              <w:pStyle w:val="19"/>
              <w:bidi w:val="0"/>
              <w:jc w:val="center"/>
              <w:rPr>
                <w:rFonts w:hint="eastAsia"/>
                <w:highlight w:val="none"/>
                <w:lang w:val="en-US" w:eastAsia="zh-CN"/>
              </w:rPr>
            </w:pPr>
            <w:r>
              <w:rPr>
                <w:rFonts w:hint="eastAsia"/>
                <w:highlight w:val="none"/>
                <w:lang w:val="en-US" w:eastAsia="zh-CN"/>
              </w:rPr>
              <w:t>7</w:t>
            </w:r>
          </w:p>
        </w:tc>
      </w:tr>
      <w:tr w14:paraId="3C29CA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1535" w:type="dxa"/>
            <w:vMerge w:val="continue"/>
            <w:vAlign w:val="center"/>
          </w:tcPr>
          <w:p w14:paraId="4A0412C3">
            <w:pPr>
              <w:pStyle w:val="19"/>
              <w:bidi w:val="0"/>
              <w:jc w:val="center"/>
              <w:rPr>
                <w:rFonts w:hint="eastAsia"/>
                <w:highlight w:val="none"/>
              </w:rPr>
            </w:pPr>
          </w:p>
        </w:tc>
        <w:tc>
          <w:tcPr>
            <w:tcW w:w="2131" w:type="dxa"/>
            <w:vMerge w:val="continue"/>
            <w:vAlign w:val="center"/>
          </w:tcPr>
          <w:p w14:paraId="72FD785D">
            <w:pPr>
              <w:pStyle w:val="19"/>
              <w:bidi w:val="0"/>
              <w:jc w:val="center"/>
              <w:rPr>
                <w:rFonts w:hint="eastAsia"/>
                <w:highlight w:val="none"/>
              </w:rPr>
            </w:pPr>
          </w:p>
        </w:tc>
        <w:tc>
          <w:tcPr>
            <w:tcW w:w="3264" w:type="dxa"/>
            <w:vAlign w:val="center"/>
          </w:tcPr>
          <w:p w14:paraId="58C495DC">
            <w:pPr>
              <w:pStyle w:val="19"/>
              <w:bidi w:val="0"/>
              <w:jc w:val="center"/>
              <w:rPr>
                <w:rFonts w:hint="eastAsia"/>
                <w:highlight w:val="none"/>
              </w:rPr>
            </w:pPr>
            <w:r>
              <w:rPr>
                <w:rFonts w:hint="eastAsia"/>
                <w:highlight w:val="none"/>
                <w:lang w:val="en-US" w:eastAsia="zh-CN"/>
              </w:rPr>
              <w:t>设备质量合格率</w:t>
            </w:r>
          </w:p>
        </w:tc>
        <w:tc>
          <w:tcPr>
            <w:tcW w:w="855" w:type="dxa"/>
            <w:vAlign w:val="center"/>
          </w:tcPr>
          <w:p w14:paraId="601DA30C">
            <w:pPr>
              <w:pStyle w:val="19"/>
              <w:bidi w:val="0"/>
              <w:jc w:val="center"/>
              <w:rPr>
                <w:rFonts w:hint="eastAsia"/>
                <w:highlight w:val="none"/>
                <w:lang w:val="en-US" w:eastAsia="zh-CN"/>
              </w:rPr>
            </w:pPr>
            <w:r>
              <w:rPr>
                <w:rFonts w:hint="eastAsia"/>
                <w:highlight w:val="none"/>
                <w:lang w:val="en-US" w:eastAsia="zh-CN"/>
              </w:rPr>
              <w:t>7</w:t>
            </w:r>
          </w:p>
        </w:tc>
        <w:tc>
          <w:tcPr>
            <w:tcW w:w="512" w:type="dxa"/>
            <w:vAlign w:val="center"/>
          </w:tcPr>
          <w:p w14:paraId="156E8634">
            <w:pPr>
              <w:pStyle w:val="19"/>
              <w:bidi w:val="0"/>
              <w:jc w:val="center"/>
              <w:rPr>
                <w:rFonts w:hint="eastAsia"/>
                <w:highlight w:val="none"/>
                <w:lang w:val="en-US" w:eastAsia="zh-CN"/>
              </w:rPr>
            </w:pPr>
            <w:r>
              <w:rPr>
                <w:rFonts w:hint="eastAsia"/>
                <w:highlight w:val="none"/>
                <w:lang w:val="en-US" w:eastAsia="zh-CN"/>
              </w:rPr>
              <w:t>7</w:t>
            </w:r>
          </w:p>
        </w:tc>
      </w:tr>
      <w:tr w14:paraId="2B9B1D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1535" w:type="dxa"/>
            <w:vMerge w:val="continue"/>
            <w:vAlign w:val="center"/>
          </w:tcPr>
          <w:p w14:paraId="77FCBD70">
            <w:pPr>
              <w:pStyle w:val="19"/>
              <w:bidi w:val="0"/>
              <w:jc w:val="center"/>
              <w:rPr>
                <w:rFonts w:hint="eastAsia"/>
                <w:highlight w:val="none"/>
              </w:rPr>
            </w:pPr>
          </w:p>
        </w:tc>
        <w:tc>
          <w:tcPr>
            <w:tcW w:w="2131" w:type="dxa"/>
            <w:vAlign w:val="center"/>
          </w:tcPr>
          <w:p w14:paraId="023D7894">
            <w:pPr>
              <w:pStyle w:val="19"/>
              <w:bidi w:val="0"/>
              <w:jc w:val="center"/>
              <w:rPr>
                <w:rFonts w:hint="eastAsia"/>
                <w:highlight w:val="none"/>
                <w:lang w:eastAsia="zh-CN"/>
              </w:rPr>
            </w:pPr>
            <w:r>
              <w:rPr>
                <w:rFonts w:hint="eastAsia"/>
                <w:highlight w:val="none"/>
                <w:lang w:val="en-US" w:eastAsia="zh-CN"/>
              </w:rPr>
              <w:t>时效指标</w:t>
            </w:r>
          </w:p>
        </w:tc>
        <w:tc>
          <w:tcPr>
            <w:tcW w:w="3264" w:type="dxa"/>
            <w:vAlign w:val="center"/>
          </w:tcPr>
          <w:p w14:paraId="2B7E01B3">
            <w:pPr>
              <w:pStyle w:val="19"/>
              <w:bidi w:val="0"/>
              <w:jc w:val="center"/>
              <w:rPr>
                <w:rFonts w:hint="eastAsia"/>
                <w:highlight w:val="none"/>
              </w:rPr>
            </w:pPr>
            <w:r>
              <w:rPr>
                <w:rFonts w:hint="eastAsia"/>
                <w:highlight w:val="none"/>
                <w:lang w:val="en-US" w:eastAsia="zh-CN"/>
              </w:rPr>
              <w:t>设备采购完成时间</w:t>
            </w:r>
          </w:p>
        </w:tc>
        <w:tc>
          <w:tcPr>
            <w:tcW w:w="855" w:type="dxa"/>
            <w:vAlign w:val="center"/>
          </w:tcPr>
          <w:p w14:paraId="37974238">
            <w:pPr>
              <w:pStyle w:val="19"/>
              <w:bidi w:val="0"/>
              <w:jc w:val="center"/>
              <w:rPr>
                <w:rFonts w:hint="eastAsia"/>
                <w:highlight w:val="none"/>
                <w:lang w:val="en-US" w:eastAsia="zh-CN"/>
              </w:rPr>
            </w:pPr>
            <w:r>
              <w:rPr>
                <w:rFonts w:hint="eastAsia"/>
                <w:highlight w:val="none"/>
                <w:lang w:val="en-US" w:eastAsia="zh-CN"/>
              </w:rPr>
              <w:t>7</w:t>
            </w:r>
          </w:p>
        </w:tc>
        <w:tc>
          <w:tcPr>
            <w:tcW w:w="512" w:type="dxa"/>
            <w:vAlign w:val="center"/>
          </w:tcPr>
          <w:p w14:paraId="3772D114">
            <w:pPr>
              <w:pStyle w:val="19"/>
              <w:bidi w:val="0"/>
              <w:jc w:val="center"/>
              <w:rPr>
                <w:rFonts w:hint="eastAsia"/>
                <w:highlight w:val="none"/>
                <w:lang w:val="en-US" w:eastAsia="zh-CN"/>
              </w:rPr>
            </w:pPr>
            <w:r>
              <w:rPr>
                <w:rFonts w:hint="eastAsia"/>
                <w:highlight w:val="none"/>
                <w:lang w:val="en-US" w:eastAsia="zh-CN"/>
              </w:rPr>
              <w:t>6</w:t>
            </w:r>
          </w:p>
        </w:tc>
      </w:tr>
      <w:tr w14:paraId="7EFD04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1535" w:type="dxa"/>
            <w:vMerge w:val="continue"/>
            <w:vAlign w:val="center"/>
          </w:tcPr>
          <w:p w14:paraId="41ACA8A0">
            <w:pPr>
              <w:pStyle w:val="19"/>
              <w:bidi w:val="0"/>
              <w:jc w:val="center"/>
              <w:rPr>
                <w:rFonts w:hint="eastAsia"/>
                <w:highlight w:val="none"/>
              </w:rPr>
            </w:pPr>
          </w:p>
        </w:tc>
        <w:tc>
          <w:tcPr>
            <w:tcW w:w="2131" w:type="dxa"/>
            <w:vAlign w:val="center"/>
          </w:tcPr>
          <w:p w14:paraId="7D425A55">
            <w:pPr>
              <w:pStyle w:val="19"/>
              <w:bidi w:val="0"/>
              <w:jc w:val="center"/>
              <w:rPr>
                <w:rFonts w:hint="eastAsia"/>
                <w:highlight w:val="none"/>
                <w:lang w:val="en-US" w:eastAsia="zh-CN"/>
              </w:rPr>
            </w:pPr>
            <w:r>
              <w:rPr>
                <w:rFonts w:hint="eastAsia"/>
                <w:highlight w:val="none"/>
                <w:lang w:val="en-US" w:eastAsia="zh-CN"/>
              </w:rPr>
              <w:t>成本指标</w:t>
            </w:r>
          </w:p>
        </w:tc>
        <w:tc>
          <w:tcPr>
            <w:tcW w:w="3264" w:type="dxa"/>
            <w:vAlign w:val="center"/>
          </w:tcPr>
          <w:p w14:paraId="24E83C79">
            <w:pPr>
              <w:pStyle w:val="19"/>
              <w:bidi w:val="0"/>
              <w:jc w:val="center"/>
              <w:rPr>
                <w:rFonts w:hint="eastAsia"/>
                <w:highlight w:val="none"/>
              </w:rPr>
            </w:pPr>
            <w:r>
              <w:rPr>
                <w:rFonts w:hint="eastAsia"/>
                <w:highlight w:val="none"/>
                <w:lang w:val="en-US" w:eastAsia="zh-CN"/>
              </w:rPr>
              <w:t>设备采购成本控制数</w:t>
            </w:r>
          </w:p>
        </w:tc>
        <w:tc>
          <w:tcPr>
            <w:tcW w:w="855" w:type="dxa"/>
            <w:vAlign w:val="center"/>
          </w:tcPr>
          <w:p w14:paraId="206FA601">
            <w:pPr>
              <w:pStyle w:val="19"/>
              <w:bidi w:val="0"/>
              <w:jc w:val="center"/>
              <w:rPr>
                <w:rFonts w:hint="eastAsia"/>
                <w:highlight w:val="none"/>
                <w:lang w:val="en-US" w:eastAsia="zh-CN"/>
              </w:rPr>
            </w:pPr>
            <w:r>
              <w:rPr>
                <w:rFonts w:hint="eastAsia"/>
                <w:highlight w:val="none"/>
                <w:lang w:val="en-US" w:eastAsia="zh-CN"/>
              </w:rPr>
              <w:t>5</w:t>
            </w:r>
          </w:p>
        </w:tc>
        <w:tc>
          <w:tcPr>
            <w:tcW w:w="512" w:type="dxa"/>
            <w:vAlign w:val="center"/>
          </w:tcPr>
          <w:p w14:paraId="71A96F57">
            <w:pPr>
              <w:pStyle w:val="19"/>
              <w:bidi w:val="0"/>
              <w:jc w:val="center"/>
              <w:rPr>
                <w:rFonts w:hint="eastAsia"/>
                <w:highlight w:val="none"/>
                <w:lang w:val="en-US" w:eastAsia="zh-CN"/>
              </w:rPr>
            </w:pPr>
            <w:r>
              <w:rPr>
                <w:rFonts w:hint="eastAsia"/>
                <w:highlight w:val="none"/>
                <w:lang w:val="en-US" w:eastAsia="zh-CN"/>
              </w:rPr>
              <w:t>5</w:t>
            </w:r>
          </w:p>
        </w:tc>
      </w:tr>
      <w:tr w14:paraId="373FF7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6930" w:type="dxa"/>
            <w:gridSpan w:val="3"/>
            <w:shd w:val="clear" w:color="auto" w:fill="auto"/>
            <w:vAlign w:val="center"/>
          </w:tcPr>
          <w:p w14:paraId="0D867089">
            <w:pPr>
              <w:pStyle w:val="19"/>
              <w:bidi w:val="0"/>
              <w:jc w:val="center"/>
              <w:rPr>
                <w:rFonts w:hint="eastAsia"/>
                <w:highlight w:val="none"/>
                <w:lang w:val="en-US" w:eastAsia="en-US"/>
              </w:rPr>
            </w:pPr>
            <w:r>
              <w:rPr>
                <w:rFonts w:hint="eastAsia"/>
                <w:highlight w:val="none"/>
              </w:rPr>
              <w:t>合计</w:t>
            </w:r>
          </w:p>
        </w:tc>
        <w:tc>
          <w:tcPr>
            <w:tcW w:w="855" w:type="dxa"/>
            <w:shd w:val="clear" w:color="auto" w:fill="auto"/>
            <w:vAlign w:val="center"/>
          </w:tcPr>
          <w:p w14:paraId="685BEBE8">
            <w:pPr>
              <w:pStyle w:val="19"/>
              <w:bidi w:val="0"/>
              <w:jc w:val="center"/>
              <w:rPr>
                <w:rFonts w:hint="eastAsia"/>
                <w:highlight w:val="none"/>
                <w:lang w:val="en-US" w:eastAsia="zh-CN"/>
              </w:rPr>
            </w:pPr>
            <w:r>
              <w:rPr>
                <w:rFonts w:hint="eastAsia"/>
                <w:highlight w:val="none"/>
                <w:lang w:val="en-US" w:eastAsia="zh-CN"/>
              </w:rPr>
              <w:t>40</w:t>
            </w:r>
          </w:p>
        </w:tc>
        <w:tc>
          <w:tcPr>
            <w:tcW w:w="512" w:type="dxa"/>
            <w:shd w:val="clear" w:color="auto" w:fill="auto"/>
            <w:vAlign w:val="center"/>
          </w:tcPr>
          <w:p w14:paraId="0C169724">
            <w:pPr>
              <w:pStyle w:val="19"/>
              <w:bidi w:val="0"/>
              <w:jc w:val="center"/>
              <w:rPr>
                <w:rFonts w:hint="default"/>
                <w:highlight w:val="none"/>
                <w:lang w:val="en-US" w:eastAsia="zh-CN"/>
              </w:rPr>
            </w:pPr>
            <w:r>
              <w:rPr>
                <w:rFonts w:hint="eastAsia"/>
                <w:highlight w:val="none"/>
                <w:lang w:val="en-US" w:eastAsia="zh-CN"/>
              </w:rPr>
              <w:t>39</w:t>
            </w:r>
          </w:p>
        </w:tc>
      </w:tr>
    </w:tbl>
    <w:p w14:paraId="72246F6A">
      <w:pPr>
        <w:rPr>
          <w:rFonts w:hint="eastAsia" w:ascii="仿宋_GB2312" w:hAnsi="仿宋_GB2312" w:eastAsia="仿宋_GB2312" w:cs="仿宋_GB2312"/>
          <w:highlight w:val="none"/>
          <w:lang w:val="en-US" w:eastAsia="zh-CN"/>
        </w:rPr>
      </w:pPr>
    </w:p>
    <w:p w14:paraId="7130B8B7">
      <w:pPr>
        <w:pStyle w:val="6"/>
        <w:numPr>
          <w:ilvl w:val="0"/>
          <w:numId w:val="24"/>
        </w:numPr>
        <w:bidi w:val="0"/>
        <w:ind w:left="0" w:leftChars="0" w:firstLine="640" w:firstLineChars="200"/>
        <w:rPr>
          <w:rFonts w:hint="eastAsia"/>
          <w:highlight w:val="none"/>
          <w:lang w:val="en-US" w:eastAsia="zh-CN"/>
        </w:rPr>
      </w:pPr>
      <w:r>
        <w:rPr>
          <w:rFonts w:hint="eastAsia"/>
          <w:highlight w:val="none"/>
          <w:lang w:val="en-US" w:eastAsia="zh-CN"/>
        </w:rPr>
        <w:t>数量指标</w:t>
      </w:r>
    </w:p>
    <w:p w14:paraId="1C4FA00F">
      <w:pPr>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bCs/>
          <w:highlight w:val="none"/>
          <w:lang w:val="en-US" w:eastAsia="zh-CN"/>
        </w:rPr>
        <w:t>对于“设备购买数量”：</w:t>
      </w:r>
      <w:r>
        <w:rPr>
          <w:rFonts w:hint="eastAsia" w:ascii="仿宋_GB2312" w:hAnsi="仿宋_GB2312" w:eastAsia="仿宋_GB2312" w:cs="仿宋_GB2312"/>
          <w:b w:val="0"/>
          <w:bCs w:val="0"/>
          <w:highlight w:val="none"/>
          <w:lang w:val="en-US" w:eastAsia="zh-CN"/>
        </w:rPr>
        <w:t>依据</w:t>
      </w:r>
      <w:r>
        <w:rPr>
          <w:rFonts w:hint="eastAsia" w:ascii="仿宋_GB2312" w:hAnsi="仿宋_GB2312" w:eastAsia="仿宋_GB2312" w:cs="仿宋_GB2312"/>
          <w:highlight w:val="none"/>
          <w:lang w:val="en-US" w:eastAsia="zh-CN"/>
        </w:rPr>
        <w:t>《关于做好申报超长期特别国债支持住宅老旧电梯更新改造项目有关工作要求》下达超长期特别国债资金390万元用于支持住宅老旧电梯更新改造项目，购买电梯26部，指标完成率100%。综上所述，该指标满分 7 分，得分 7 分。</w:t>
      </w:r>
    </w:p>
    <w:p w14:paraId="75041A22">
      <w:pPr>
        <w:pStyle w:val="6"/>
        <w:numPr>
          <w:ilvl w:val="0"/>
          <w:numId w:val="24"/>
        </w:numPr>
        <w:bidi w:val="0"/>
        <w:ind w:left="0" w:leftChars="0" w:firstLine="640" w:firstLineChars="0"/>
        <w:rPr>
          <w:rFonts w:hint="eastAsia"/>
          <w:highlight w:val="none"/>
          <w:lang w:val="en-US" w:eastAsia="zh-CN"/>
        </w:rPr>
      </w:pPr>
      <w:r>
        <w:rPr>
          <w:rFonts w:hint="eastAsia"/>
          <w:highlight w:val="none"/>
          <w:lang w:val="en-US" w:eastAsia="zh-CN"/>
        </w:rPr>
        <w:t>质量指标</w:t>
      </w:r>
    </w:p>
    <w:p w14:paraId="1A08C54E">
      <w:pPr>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bCs/>
          <w:highlight w:val="none"/>
          <w:lang w:val="en-US" w:eastAsia="zh-CN"/>
        </w:rPr>
        <w:t>对于“项目验收合格率”：</w:t>
      </w:r>
      <w:r>
        <w:rPr>
          <w:rFonts w:hint="eastAsia" w:ascii="仿宋_GB2312" w:hAnsi="仿宋_GB2312" w:eastAsia="仿宋_GB2312" w:cs="仿宋_GB2312"/>
          <w:b w:val="0"/>
          <w:bCs w:val="0"/>
          <w:highlight w:val="none"/>
          <w:lang w:val="en-US" w:eastAsia="zh-CN"/>
        </w:rPr>
        <w:t>经核查，克拉玛依区住房和城乡建设局已提供相应电梯验收报告，综上所述，该指标满分 7 分，得分 7 分。</w:t>
      </w:r>
    </w:p>
    <w:p w14:paraId="57788968">
      <w:pPr>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bCs/>
          <w:highlight w:val="none"/>
          <w:lang w:val="en-US" w:eastAsia="zh-CN"/>
        </w:rPr>
        <w:t>对于“政府采购率”：</w:t>
      </w:r>
      <w:r>
        <w:rPr>
          <w:rFonts w:hint="eastAsia" w:ascii="仿宋_GB2312" w:hAnsi="仿宋_GB2312" w:eastAsia="仿宋_GB2312" w:cs="仿宋_GB2312"/>
          <w:b w:val="0"/>
          <w:bCs w:val="0"/>
          <w:highlight w:val="none"/>
          <w:lang w:val="en-US" w:eastAsia="zh-CN"/>
        </w:rPr>
        <w:t>因本项目不属于政府采购，所以此指标不适用。</w:t>
      </w:r>
    </w:p>
    <w:p w14:paraId="2B42473C">
      <w:pPr>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bCs/>
          <w:highlight w:val="none"/>
          <w:lang w:val="en-US" w:eastAsia="zh-CN"/>
        </w:rPr>
        <w:t>对于“设备质量合格率”：</w:t>
      </w:r>
      <w:r>
        <w:rPr>
          <w:rFonts w:hint="eastAsia" w:ascii="仿宋_GB2312" w:hAnsi="仿宋_GB2312" w:eastAsia="仿宋_GB2312" w:cs="仿宋_GB2312"/>
          <w:b w:val="0"/>
          <w:bCs w:val="0"/>
          <w:highlight w:val="none"/>
          <w:lang w:val="en-US" w:eastAsia="zh-CN"/>
        </w:rPr>
        <w:t>经过对电梯监督检验报告及特种设备使用登记证核查可知，设备质量合格率为100%，指标完成度100%。</w:t>
      </w:r>
      <w:r>
        <w:rPr>
          <w:rFonts w:hint="eastAsia" w:ascii="仿宋_GB2312" w:hAnsi="仿宋_GB2312" w:eastAsia="仿宋_GB2312" w:cs="仿宋_GB2312"/>
          <w:highlight w:val="none"/>
          <w:lang w:val="en-US" w:eastAsia="zh-CN"/>
        </w:rPr>
        <w:t>综上所述，该指标满分 7 分，得分 7 分。</w:t>
      </w:r>
    </w:p>
    <w:p w14:paraId="683F8993">
      <w:pPr>
        <w:pStyle w:val="6"/>
        <w:numPr>
          <w:ilvl w:val="0"/>
          <w:numId w:val="24"/>
        </w:numPr>
        <w:bidi w:val="0"/>
        <w:ind w:left="0" w:leftChars="0" w:firstLine="640" w:firstLineChars="0"/>
        <w:rPr>
          <w:rFonts w:hint="eastAsia"/>
          <w:highlight w:val="none"/>
          <w:lang w:val="en-US" w:eastAsia="zh-CN"/>
        </w:rPr>
      </w:pPr>
      <w:r>
        <w:rPr>
          <w:rFonts w:hint="eastAsia"/>
          <w:highlight w:val="none"/>
          <w:lang w:val="en-US" w:eastAsia="zh-CN"/>
        </w:rPr>
        <w:t>时效指标</w:t>
      </w:r>
    </w:p>
    <w:p w14:paraId="2DEE825E">
      <w:pPr>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bCs/>
          <w:highlight w:val="none"/>
          <w:lang w:val="en-US" w:eastAsia="zh-CN"/>
        </w:rPr>
        <w:t>对于“设备采购完成时间”：</w:t>
      </w:r>
      <w:r>
        <w:rPr>
          <w:rFonts w:hint="eastAsia" w:cs="仿宋_GB2312"/>
          <w:b w:val="0"/>
          <w:bCs w:val="0"/>
          <w:highlight w:val="none"/>
          <w:lang w:val="en-US" w:eastAsia="zh-CN"/>
        </w:rPr>
        <w:t>本项目按要求采购完成时间应在2024年12月31日之前完成，</w:t>
      </w:r>
      <w:r>
        <w:rPr>
          <w:rFonts w:hint="eastAsia" w:ascii="仿宋_GB2312" w:hAnsi="仿宋_GB2312" w:eastAsia="仿宋_GB2312" w:cs="仿宋_GB2312"/>
          <w:b w:val="0"/>
          <w:bCs w:val="0"/>
          <w:highlight w:val="none"/>
          <w:lang w:val="en-US" w:eastAsia="zh-CN"/>
        </w:rPr>
        <w:t>经过对项目合同核查可知，本项目</w:t>
      </w:r>
      <w:r>
        <w:rPr>
          <w:rFonts w:hint="eastAsia" w:cs="仿宋_GB2312"/>
          <w:b w:val="0"/>
          <w:bCs w:val="0"/>
          <w:highlight w:val="none"/>
          <w:lang w:val="en-US" w:eastAsia="zh-CN"/>
        </w:rPr>
        <w:t>部分</w:t>
      </w:r>
      <w:r>
        <w:rPr>
          <w:rFonts w:hint="eastAsia" w:ascii="仿宋_GB2312" w:hAnsi="仿宋_GB2312" w:eastAsia="仿宋_GB2312" w:cs="仿宋_GB2312"/>
          <w:b w:val="0"/>
          <w:bCs w:val="0"/>
          <w:highlight w:val="none"/>
          <w:lang w:val="en-US" w:eastAsia="zh-CN"/>
        </w:rPr>
        <w:t>设备采购完成时间均在2025年2月1日，</w:t>
      </w:r>
      <w:r>
        <w:rPr>
          <w:rFonts w:hint="eastAsia" w:ascii="仿宋_GB2312" w:hAnsi="仿宋_GB2312" w:eastAsia="仿宋_GB2312" w:cs="仿宋_GB2312"/>
          <w:highlight w:val="none"/>
          <w:lang w:val="en-US" w:eastAsia="zh-CN"/>
        </w:rPr>
        <w:t xml:space="preserve">综上所述，该指标满分 7 分，得分 </w:t>
      </w:r>
      <w:r>
        <w:rPr>
          <w:rFonts w:hint="eastAsia" w:cs="仿宋_GB2312"/>
          <w:highlight w:val="none"/>
          <w:lang w:val="en-US" w:eastAsia="zh-CN"/>
        </w:rPr>
        <w:t>6</w:t>
      </w:r>
      <w:r>
        <w:rPr>
          <w:rFonts w:hint="eastAsia" w:ascii="仿宋_GB2312" w:hAnsi="仿宋_GB2312" w:eastAsia="仿宋_GB2312" w:cs="仿宋_GB2312"/>
          <w:highlight w:val="none"/>
          <w:lang w:val="en-US" w:eastAsia="zh-CN"/>
        </w:rPr>
        <w:t xml:space="preserve"> 分。</w:t>
      </w:r>
    </w:p>
    <w:p w14:paraId="7432F74A">
      <w:pPr>
        <w:pStyle w:val="6"/>
        <w:numPr>
          <w:ilvl w:val="0"/>
          <w:numId w:val="24"/>
        </w:numPr>
        <w:bidi w:val="0"/>
        <w:ind w:left="0" w:leftChars="0" w:firstLine="640" w:firstLineChars="0"/>
        <w:rPr>
          <w:rFonts w:hint="eastAsia"/>
          <w:highlight w:val="none"/>
          <w:lang w:val="en-US" w:eastAsia="zh-CN"/>
        </w:rPr>
      </w:pPr>
      <w:r>
        <w:rPr>
          <w:rFonts w:hint="eastAsia"/>
          <w:highlight w:val="none"/>
          <w:lang w:val="en-US" w:eastAsia="zh-CN"/>
        </w:rPr>
        <w:t>成本指标</w:t>
      </w:r>
      <w:bookmarkStart w:id="238" w:name="_GoBack"/>
      <w:bookmarkEnd w:id="238"/>
    </w:p>
    <w:p w14:paraId="68EBBB59">
      <w:pPr>
        <w:rPr>
          <w:rFonts w:hint="eastAsia"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对于“设备采购成本控制数”：</w:t>
      </w:r>
      <w:r>
        <w:rPr>
          <w:rFonts w:hint="eastAsia" w:ascii="仿宋_GB2312" w:hAnsi="仿宋_GB2312" w:eastAsia="仿宋_GB2312" w:cs="仿宋_GB2312"/>
          <w:b w:val="0"/>
          <w:bCs w:val="0"/>
          <w:highlight w:val="none"/>
          <w:lang w:val="en-US" w:eastAsia="zh-CN"/>
        </w:rPr>
        <w:t>经核查，本项目所有设备采购成本均低于35万元，平均单台采购成本为30万元，指标完成率100%。</w:t>
      </w:r>
      <w:r>
        <w:rPr>
          <w:rFonts w:hint="eastAsia" w:ascii="仿宋_GB2312" w:hAnsi="仿宋_GB2312" w:eastAsia="仿宋_GB2312" w:cs="仿宋_GB2312"/>
          <w:highlight w:val="none"/>
          <w:lang w:val="en-US" w:eastAsia="zh-CN"/>
        </w:rPr>
        <w:t>综上所述，该指标满分 5 分，得分 5 分。</w:t>
      </w:r>
    </w:p>
    <w:p w14:paraId="0AA9FFCE">
      <w:pPr>
        <w:pStyle w:val="5"/>
        <w:numPr>
          <w:ilvl w:val="0"/>
          <w:numId w:val="23"/>
        </w:numPr>
        <w:bidi w:val="0"/>
        <w:ind w:left="420" w:leftChars="0" w:firstLine="218" w:firstLineChars="68"/>
        <w:rPr>
          <w:rFonts w:hint="eastAsia"/>
          <w:highlight w:val="none"/>
          <w:lang w:val="en-US" w:eastAsia="zh-CN"/>
        </w:rPr>
      </w:pPr>
      <w:bookmarkStart w:id="179" w:name="_Toc31462"/>
      <w:bookmarkStart w:id="180" w:name="_Toc28388"/>
      <w:bookmarkStart w:id="181" w:name="_Toc6725"/>
      <w:r>
        <w:rPr>
          <w:rFonts w:hint="eastAsia"/>
          <w:highlight w:val="none"/>
          <w:lang w:val="en-US" w:eastAsia="zh-CN"/>
        </w:rPr>
        <w:t>效益情况分析</w:t>
      </w:r>
      <w:bookmarkEnd w:id="179"/>
      <w:bookmarkEnd w:id="180"/>
      <w:bookmarkEnd w:id="181"/>
    </w:p>
    <w:p w14:paraId="02EA3B71">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项目效益类指标是从经济效益和社会效益对项目实施进行考察，项目效益类指标分值 20 分，实际得分 20 分。指标的得分情况如表所示：</w:t>
      </w:r>
    </w:p>
    <w:p w14:paraId="21FEBF3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b/>
          <w:bCs/>
          <w:sz w:val="24"/>
          <w:szCs w:val="24"/>
          <w:highlight w:val="none"/>
          <w:lang w:val="en-US" w:eastAsia="zh-CN"/>
        </w:rPr>
        <w:t>表</w:t>
      </w:r>
      <w:r>
        <w:rPr>
          <w:rFonts w:hint="eastAsia" w:cs="仿宋_GB2312"/>
          <w:b/>
          <w:bCs/>
          <w:sz w:val="24"/>
          <w:szCs w:val="24"/>
          <w:highlight w:val="none"/>
          <w:lang w:val="en-US" w:eastAsia="zh-CN"/>
        </w:rPr>
        <w:t>4</w:t>
      </w:r>
      <w:r>
        <w:rPr>
          <w:rFonts w:hint="eastAsia" w:ascii="仿宋_GB2312" w:hAnsi="仿宋_GB2312" w:eastAsia="仿宋_GB2312" w:cs="仿宋_GB2312"/>
          <w:b/>
          <w:bCs/>
          <w:sz w:val="24"/>
          <w:szCs w:val="24"/>
          <w:highlight w:val="none"/>
          <w:lang w:val="en-US" w:eastAsia="zh-CN"/>
        </w:rPr>
        <w:t>-</w:t>
      </w:r>
      <w:r>
        <w:rPr>
          <w:rFonts w:hint="eastAsia" w:cs="仿宋_GB2312"/>
          <w:b/>
          <w:bCs/>
          <w:sz w:val="24"/>
          <w:szCs w:val="24"/>
          <w:highlight w:val="none"/>
          <w:lang w:val="en-US" w:eastAsia="zh-CN"/>
        </w:rPr>
        <w:t xml:space="preserve">4 </w:t>
      </w:r>
      <w:r>
        <w:rPr>
          <w:rFonts w:hint="eastAsia" w:ascii="仿宋_GB2312" w:hAnsi="仿宋_GB2312" w:eastAsia="仿宋_GB2312" w:cs="仿宋_GB2312"/>
          <w:b/>
          <w:bCs/>
          <w:sz w:val="24"/>
          <w:szCs w:val="24"/>
          <w:highlight w:val="none"/>
          <w:lang w:val="en-US" w:eastAsia="zh-CN"/>
        </w:rPr>
        <w:t>项目</w:t>
      </w:r>
      <w:r>
        <w:rPr>
          <w:rFonts w:hint="eastAsia" w:cs="仿宋_GB2312"/>
          <w:b/>
          <w:bCs/>
          <w:sz w:val="24"/>
          <w:szCs w:val="24"/>
          <w:highlight w:val="none"/>
          <w:lang w:val="en-US" w:eastAsia="zh-CN"/>
        </w:rPr>
        <w:t>效益得分情况</w:t>
      </w:r>
      <w:r>
        <w:rPr>
          <w:rFonts w:hint="eastAsia" w:ascii="仿宋_GB2312" w:hAnsi="仿宋_GB2312" w:eastAsia="仿宋_GB2312" w:cs="仿宋_GB2312"/>
          <w:b/>
          <w:bCs/>
          <w:sz w:val="24"/>
          <w:szCs w:val="24"/>
          <w:highlight w:val="none"/>
          <w:lang w:val="en-US" w:eastAsia="zh-CN"/>
        </w:rPr>
        <w:t>表</w:t>
      </w:r>
    </w:p>
    <w:tbl>
      <w:tblPr>
        <w:tblStyle w:val="18"/>
        <w:tblW w:w="85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35"/>
        <w:gridCol w:w="2131"/>
        <w:gridCol w:w="2470"/>
        <w:gridCol w:w="1335"/>
        <w:gridCol w:w="1088"/>
      </w:tblGrid>
      <w:tr w14:paraId="4EB959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1535" w:type="dxa"/>
            <w:shd w:val="clear" w:color="auto" w:fill="D7D7D7" w:themeFill="background1" w:themeFillShade="D8"/>
            <w:vAlign w:val="center"/>
          </w:tcPr>
          <w:p w14:paraId="5B53DF78">
            <w:pPr>
              <w:pStyle w:val="19"/>
              <w:bidi w:val="0"/>
              <w:jc w:val="center"/>
              <w:rPr>
                <w:rFonts w:hint="eastAsia"/>
                <w:highlight w:val="none"/>
              </w:rPr>
            </w:pPr>
            <w:r>
              <w:rPr>
                <w:rFonts w:hint="eastAsia"/>
                <w:highlight w:val="none"/>
              </w:rPr>
              <w:t>一级指标</w:t>
            </w:r>
          </w:p>
        </w:tc>
        <w:tc>
          <w:tcPr>
            <w:tcW w:w="2131" w:type="dxa"/>
            <w:shd w:val="clear" w:color="auto" w:fill="D7D7D7" w:themeFill="background1" w:themeFillShade="D8"/>
            <w:vAlign w:val="center"/>
          </w:tcPr>
          <w:p w14:paraId="37681110">
            <w:pPr>
              <w:pStyle w:val="19"/>
              <w:bidi w:val="0"/>
              <w:jc w:val="center"/>
              <w:rPr>
                <w:rFonts w:hint="eastAsia"/>
                <w:highlight w:val="none"/>
              </w:rPr>
            </w:pPr>
            <w:r>
              <w:rPr>
                <w:rFonts w:hint="eastAsia"/>
                <w:highlight w:val="none"/>
              </w:rPr>
              <w:t>二级指标</w:t>
            </w:r>
          </w:p>
        </w:tc>
        <w:tc>
          <w:tcPr>
            <w:tcW w:w="2470" w:type="dxa"/>
            <w:shd w:val="clear" w:color="auto" w:fill="D7D7D7" w:themeFill="background1" w:themeFillShade="D8"/>
            <w:vAlign w:val="center"/>
          </w:tcPr>
          <w:p w14:paraId="72AC934E">
            <w:pPr>
              <w:pStyle w:val="19"/>
              <w:bidi w:val="0"/>
              <w:jc w:val="center"/>
              <w:rPr>
                <w:rFonts w:hint="eastAsia"/>
                <w:highlight w:val="none"/>
              </w:rPr>
            </w:pPr>
            <w:r>
              <w:rPr>
                <w:rFonts w:hint="eastAsia"/>
                <w:highlight w:val="none"/>
              </w:rPr>
              <w:t>三级指标</w:t>
            </w:r>
          </w:p>
        </w:tc>
        <w:tc>
          <w:tcPr>
            <w:tcW w:w="1335" w:type="dxa"/>
            <w:shd w:val="clear" w:color="auto" w:fill="D7D7D7" w:themeFill="background1" w:themeFillShade="D8"/>
            <w:vAlign w:val="center"/>
          </w:tcPr>
          <w:p w14:paraId="249CF455">
            <w:pPr>
              <w:pStyle w:val="19"/>
              <w:bidi w:val="0"/>
              <w:jc w:val="center"/>
              <w:rPr>
                <w:rFonts w:hint="eastAsia"/>
                <w:highlight w:val="none"/>
              </w:rPr>
            </w:pPr>
            <w:r>
              <w:rPr>
                <w:rFonts w:hint="eastAsia"/>
                <w:highlight w:val="none"/>
              </w:rPr>
              <w:t>分值</w:t>
            </w:r>
          </w:p>
        </w:tc>
        <w:tc>
          <w:tcPr>
            <w:tcW w:w="1088" w:type="dxa"/>
            <w:shd w:val="clear" w:color="auto" w:fill="D7D7D7" w:themeFill="background1" w:themeFillShade="D8"/>
            <w:vAlign w:val="center"/>
          </w:tcPr>
          <w:p w14:paraId="0EEDF6D1">
            <w:pPr>
              <w:pStyle w:val="19"/>
              <w:bidi w:val="0"/>
              <w:jc w:val="center"/>
              <w:rPr>
                <w:rFonts w:hint="eastAsia"/>
                <w:highlight w:val="none"/>
              </w:rPr>
            </w:pPr>
            <w:r>
              <w:rPr>
                <w:rFonts w:hint="eastAsia"/>
                <w:highlight w:val="none"/>
              </w:rPr>
              <w:t>得分</w:t>
            </w:r>
          </w:p>
        </w:tc>
      </w:tr>
      <w:tr w14:paraId="14E7CC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1535" w:type="dxa"/>
            <w:vMerge w:val="restart"/>
            <w:vAlign w:val="center"/>
          </w:tcPr>
          <w:p w14:paraId="5266105A">
            <w:pPr>
              <w:pStyle w:val="19"/>
              <w:bidi w:val="0"/>
              <w:jc w:val="center"/>
              <w:rPr>
                <w:rFonts w:hint="eastAsia"/>
                <w:highlight w:val="none"/>
                <w:lang w:eastAsia="zh-CN"/>
              </w:rPr>
            </w:pPr>
            <w:r>
              <w:rPr>
                <w:rFonts w:hint="eastAsia"/>
                <w:highlight w:val="none"/>
              </w:rPr>
              <w:t>项目</w:t>
            </w:r>
            <w:r>
              <w:rPr>
                <w:rFonts w:hint="eastAsia"/>
                <w:highlight w:val="none"/>
                <w:lang w:val="en-US" w:eastAsia="zh-CN"/>
              </w:rPr>
              <w:t>效益</w:t>
            </w:r>
          </w:p>
        </w:tc>
        <w:tc>
          <w:tcPr>
            <w:tcW w:w="2131" w:type="dxa"/>
            <w:vAlign w:val="center"/>
          </w:tcPr>
          <w:p w14:paraId="4DFF67D5">
            <w:pPr>
              <w:pStyle w:val="19"/>
              <w:bidi w:val="0"/>
              <w:jc w:val="center"/>
              <w:rPr>
                <w:rFonts w:hint="eastAsia"/>
                <w:highlight w:val="none"/>
                <w:lang w:val="en-US"/>
              </w:rPr>
            </w:pPr>
            <w:r>
              <w:rPr>
                <w:rFonts w:hint="eastAsia"/>
                <w:highlight w:val="none"/>
                <w:lang w:val="en-US" w:eastAsia="zh-CN"/>
              </w:rPr>
              <w:t>经济效益</w:t>
            </w:r>
          </w:p>
        </w:tc>
        <w:tc>
          <w:tcPr>
            <w:tcW w:w="2470" w:type="dxa"/>
            <w:vAlign w:val="center"/>
          </w:tcPr>
          <w:p w14:paraId="65A5C23F">
            <w:pPr>
              <w:pStyle w:val="19"/>
              <w:bidi w:val="0"/>
              <w:jc w:val="center"/>
              <w:rPr>
                <w:rFonts w:hint="eastAsia"/>
                <w:highlight w:val="none"/>
              </w:rPr>
            </w:pPr>
            <w:r>
              <w:rPr>
                <w:rFonts w:hint="eastAsia"/>
                <w:highlight w:val="none"/>
                <w:lang w:val="en-US" w:eastAsia="zh-CN"/>
              </w:rPr>
              <w:t>设备利用率</w:t>
            </w:r>
          </w:p>
        </w:tc>
        <w:tc>
          <w:tcPr>
            <w:tcW w:w="1335" w:type="dxa"/>
            <w:vAlign w:val="center"/>
          </w:tcPr>
          <w:p w14:paraId="0E10D3EF">
            <w:pPr>
              <w:pStyle w:val="19"/>
              <w:bidi w:val="0"/>
              <w:jc w:val="center"/>
              <w:rPr>
                <w:rFonts w:hint="eastAsia"/>
                <w:highlight w:val="none"/>
                <w:lang w:val="en-US" w:eastAsia="zh-CN"/>
              </w:rPr>
            </w:pPr>
            <w:r>
              <w:rPr>
                <w:rFonts w:hint="eastAsia"/>
                <w:highlight w:val="none"/>
                <w:lang w:val="en-US" w:eastAsia="zh-CN"/>
              </w:rPr>
              <w:t>10</w:t>
            </w:r>
          </w:p>
        </w:tc>
        <w:tc>
          <w:tcPr>
            <w:tcW w:w="1088" w:type="dxa"/>
            <w:vAlign w:val="center"/>
          </w:tcPr>
          <w:p w14:paraId="3790531F">
            <w:pPr>
              <w:pStyle w:val="19"/>
              <w:bidi w:val="0"/>
              <w:jc w:val="center"/>
              <w:rPr>
                <w:rFonts w:hint="eastAsia"/>
                <w:highlight w:val="none"/>
                <w:lang w:val="en-US" w:eastAsia="zh-CN"/>
              </w:rPr>
            </w:pPr>
            <w:r>
              <w:rPr>
                <w:rFonts w:hint="eastAsia"/>
                <w:highlight w:val="none"/>
                <w:lang w:val="en-US" w:eastAsia="zh-CN"/>
              </w:rPr>
              <w:t>10</w:t>
            </w:r>
          </w:p>
        </w:tc>
      </w:tr>
      <w:tr w14:paraId="367DF6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1535" w:type="dxa"/>
            <w:vMerge w:val="continue"/>
            <w:vAlign w:val="center"/>
          </w:tcPr>
          <w:p w14:paraId="6B58BA86">
            <w:pPr>
              <w:pStyle w:val="19"/>
              <w:bidi w:val="0"/>
              <w:jc w:val="center"/>
              <w:rPr>
                <w:rFonts w:hint="eastAsia"/>
                <w:highlight w:val="none"/>
              </w:rPr>
            </w:pPr>
          </w:p>
        </w:tc>
        <w:tc>
          <w:tcPr>
            <w:tcW w:w="2131" w:type="dxa"/>
            <w:vAlign w:val="center"/>
          </w:tcPr>
          <w:p w14:paraId="71E8EA0D">
            <w:pPr>
              <w:pStyle w:val="19"/>
              <w:bidi w:val="0"/>
              <w:jc w:val="center"/>
              <w:rPr>
                <w:rFonts w:hint="eastAsia"/>
                <w:highlight w:val="none"/>
                <w:lang w:val="en-US" w:eastAsia="zh-CN"/>
              </w:rPr>
            </w:pPr>
            <w:r>
              <w:rPr>
                <w:rFonts w:hint="eastAsia"/>
                <w:highlight w:val="none"/>
                <w:lang w:val="en-US" w:eastAsia="zh-CN"/>
              </w:rPr>
              <w:t>社会效益</w:t>
            </w:r>
          </w:p>
        </w:tc>
        <w:tc>
          <w:tcPr>
            <w:tcW w:w="2470" w:type="dxa"/>
            <w:vAlign w:val="center"/>
          </w:tcPr>
          <w:p w14:paraId="68A0A87B">
            <w:pPr>
              <w:pStyle w:val="19"/>
              <w:bidi w:val="0"/>
              <w:jc w:val="center"/>
              <w:rPr>
                <w:rFonts w:hint="eastAsia"/>
                <w:highlight w:val="none"/>
                <w:lang w:val="en-US"/>
              </w:rPr>
            </w:pPr>
            <w:r>
              <w:rPr>
                <w:rFonts w:hint="eastAsia"/>
                <w:highlight w:val="none"/>
                <w:lang w:val="en-US" w:eastAsia="zh-CN"/>
              </w:rPr>
              <w:t>使用人员满意度</w:t>
            </w:r>
          </w:p>
        </w:tc>
        <w:tc>
          <w:tcPr>
            <w:tcW w:w="1335" w:type="dxa"/>
            <w:vAlign w:val="center"/>
          </w:tcPr>
          <w:p w14:paraId="63AE08FF">
            <w:pPr>
              <w:pStyle w:val="19"/>
              <w:bidi w:val="0"/>
              <w:jc w:val="center"/>
              <w:rPr>
                <w:rFonts w:hint="eastAsia"/>
                <w:highlight w:val="none"/>
                <w:lang w:val="en-US" w:eastAsia="zh-CN"/>
              </w:rPr>
            </w:pPr>
            <w:r>
              <w:rPr>
                <w:rFonts w:hint="eastAsia"/>
                <w:highlight w:val="none"/>
                <w:lang w:val="en-US" w:eastAsia="zh-CN"/>
              </w:rPr>
              <w:t>10</w:t>
            </w:r>
          </w:p>
        </w:tc>
        <w:tc>
          <w:tcPr>
            <w:tcW w:w="1088" w:type="dxa"/>
            <w:vAlign w:val="center"/>
          </w:tcPr>
          <w:p w14:paraId="63735725">
            <w:pPr>
              <w:pStyle w:val="19"/>
              <w:bidi w:val="0"/>
              <w:jc w:val="center"/>
              <w:rPr>
                <w:rFonts w:hint="eastAsia"/>
                <w:highlight w:val="none"/>
                <w:lang w:val="en-US" w:eastAsia="zh-CN"/>
              </w:rPr>
            </w:pPr>
            <w:r>
              <w:rPr>
                <w:rFonts w:hint="eastAsia"/>
                <w:highlight w:val="none"/>
                <w:lang w:val="en-US" w:eastAsia="zh-CN"/>
              </w:rPr>
              <w:t>10</w:t>
            </w:r>
          </w:p>
        </w:tc>
      </w:tr>
      <w:tr w14:paraId="1359B2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7" w:hRule="atLeast"/>
        </w:trPr>
        <w:tc>
          <w:tcPr>
            <w:tcW w:w="6136" w:type="dxa"/>
            <w:gridSpan w:val="3"/>
            <w:shd w:val="clear" w:color="auto" w:fill="auto"/>
            <w:vAlign w:val="center"/>
          </w:tcPr>
          <w:p w14:paraId="317764C8">
            <w:pPr>
              <w:pStyle w:val="19"/>
              <w:bidi w:val="0"/>
              <w:jc w:val="center"/>
              <w:rPr>
                <w:rFonts w:hint="eastAsia"/>
                <w:highlight w:val="none"/>
                <w:lang w:val="en-US" w:eastAsia="en-US"/>
              </w:rPr>
            </w:pPr>
            <w:r>
              <w:rPr>
                <w:rFonts w:hint="eastAsia"/>
                <w:highlight w:val="none"/>
              </w:rPr>
              <w:t>合计</w:t>
            </w:r>
          </w:p>
        </w:tc>
        <w:tc>
          <w:tcPr>
            <w:tcW w:w="1335" w:type="dxa"/>
            <w:shd w:val="clear" w:color="auto" w:fill="auto"/>
            <w:vAlign w:val="center"/>
          </w:tcPr>
          <w:p w14:paraId="245ED069">
            <w:pPr>
              <w:pStyle w:val="19"/>
              <w:bidi w:val="0"/>
              <w:jc w:val="center"/>
              <w:rPr>
                <w:rFonts w:hint="eastAsia"/>
                <w:highlight w:val="none"/>
                <w:lang w:val="en-US" w:eastAsia="zh-CN"/>
              </w:rPr>
            </w:pPr>
            <w:r>
              <w:rPr>
                <w:rFonts w:hint="eastAsia"/>
                <w:highlight w:val="none"/>
                <w:lang w:val="en-US" w:eastAsia="zh-CN"/>
              </w:rPr>
              <w:t>20</w:t>
            </w:r>
          </w:p>
        </w:tc>
        <w:tc>
          <w:tcPr>
            <w:tcW w:w="1088" w:type="dxa"/>
            <w:shd w:val="clear" w:color="auto" w:fill="auto"/>
            <w:vAlign w:val="center"/>
          </w:tcPr>
          <w:p w14:paraId="21211355">
            <w:pPr>
              <w:pStyle w:val="19"/>
              <w:bidi w:val="0"/>
              <w:jc w:val="center"/>
              <w:rPr>
                <w:rFonts w:hint="eastAsia"/>
                <w:highlight w:val="none"/>
                <w:lang w:val="en-US" w:eastAsia="zh-CN"/>
              </w:rPr>
            </w:pPr>
            <w:r>
              <w:rPr>
                <w:rFonts w:hint="eastAsia"/>
                <w:highlight w:val="none"/>
                <w:lang w:val="en-US" w:eastAsia="zh-CN"/>
              </w:rPr>
              <w:t>20</w:t>
            </w:r>
          </w:p>
        </w:tc>
      </w:tr>
    </w:tbl>
    <w:p w14:paraId="02055E9A">
      <w:pPr>
        <w:pStyle w:val="6"/>
        <w:numPr>
          <w:ilvl w:val="0"/>
          <w:numId w:val="25"/>
        </w:numPr>
        <w:bidi w:val="0"/>
        <w:ind w:left="0" w:leftChars="0" w:firstLine="640" w:firstLineChars="200"/>
        <w:rPr>
          <w:rFonts w:hint="eastAsia"/>
          <w:highlight w:val="none"/>
          <w:lang w:val="en-US" w:eastAsia="zh-CN"/>
        </w:rPr>
      </w:pPr>
      <w:r>
        <w:rPr>
          <w:rFonts w:hint="eastAsia"/>
          <w:highlight w:val="none"/>
          <w:lang w:val="en-US" w:eastAsia="zh-CN"/>
        </w:rPr>
        <w:t>经济效益</w:t>
      </w:r>
    </w:p>
    <w:p w14:paraId="7A6A096C">
      <w:pPr>
        <w:rPr>
          <w:rFonts w:hint="eastAsia"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对于“设备利用率”：</w:t>
      </w:r>
      <w:r>
        <w:rPr>
          <w:rFonts w:hint="eastAsia" w:ascii="仿宋_GB2312" w:hAnsi="仿宋_GB2312" w:eastAsia="仿宋_GB2312" w:cs="仿宋_GB2312"/>
          <w:b w:val="0"/>
          <w:bCs w:val="0"/>
          <w:highlight w:val="none"/>
          <w:lang w:val="en-US" w:eastAsia="zh-CN"/>
        </w:rPr>
        <w:t>根据问卷调查及实地踏勘结果，设备利用率为100%，指标完成率为100%。</w:t>
      </w:r>
      <w:r>
        <w:rPr>
          <w:rFonts w:hint="eastAsia" w:ascii="仿宋_GB2312" w:hAnsi="仿宋_GB2312" w:eastAsia="仿宋_GB2312" w:cs="仿宋_GB2312"/>
          <w:highlight w:val="none"/>
          <w:lang w:val="en-US" w:eastAsia="zh-CN"/>
        </w:rPr>
        <w:t>综上所述，该指标满分 10 分，得分 10 分。</w:t>
      </w:r>
    </w:p>
    <w:p w14:paraId="1D5A955A">
      <w:pPr>
        <w:pStyle w:val="6"/>
        <w:numPr>
          <w:ilvl w:val="0"/>
          <w:numId w:val="25"/>
        </w:numPr>
        <w:bidi w:val="0"/>
        <w:ind w:left="0" w:leftChars="0" w:firstLine="640" w:firstLineChars="0"/>
        <w:rPr>
          <w:rFonts w:hint="eastAsia"/>
          <w:highlight w:val="none"/>
          <w:lang w:val="en-US" w:eastAsia="zh-CN"/>
        </w:rPr>
      </w:pPr>
      <w:r>
        <w:rPr>
          <w:rFonts w:hint="eastAsia"/>
          <w:highlight w:val="none"/>
          <w:lang w:val="en-US" w:eastAsia="zh-CN"/>
        </w:rPr>
        <w:t>社会效益</w:t>
      </w:r>
    </w:p>
    <w:p w14:paraId="478E79A6">
      <w:pPr>
        <w:rPr>
          <w:rFonts w:hint="eastAsia"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对于“使用人员满意度”：</w:t>
      </w:r>
      <w:r>
        <w:rPr>
          <w:rFonts w:hint="eastAsia" w:ascii="仿宋_GB2312" w:hAnsi="仿宋_GB2312" w:eastAsia="仿宋_GB2312" w:cs="仿宋_GB2312"/>
          <w:b w:val="0"/>
          <w:bCs w:val="0"/>
          <w:highlight w:val="none"/>
          <w:lang w:val="en-US" w:eastAsia="zh-CN"/>
        </w:rPr>
        <w:t>经过对调查问卷结果的统计与整理，整体满意度为90%，指标完成率100%。</w:t>
      </w:r>
      <w:r>
        <w:rPr>
          <w:rFonts w:hint="eastAsia" w:ascii="仿宋_GB2312" w:hAnsi="仿宋_GB2312" w:eastAsia="仿宋_GB2312" w:cs="仿宋_GB2312"/>
          <w:highlight w:val="none"/>
          <w:lang w:val="en-US" w:eastAsia="zh-CN"/>
        </w:rPr>
        <w:t>综上所述，该指标满分 10 分，得分 10 分。</w:t>
      </w:r>
    </w:p>
    <w:p w14:paraId="07BEC68F">
      <w:pPr>
        <w:pStyle w:val="4"/>
        <w:numPr>
          <w:ilvl w:val="0"/>
          <w:numId w:val="10"/>
        </w:numPr>
        <w:bidi w:val="0"/>
        <w:rPr>
          <w:rFonts w:hint="eastAsia"/>
          <w:highlight w:val="none"/>
          <w:lang w:val="en-US" w:eastAsia="zh-CN"/>
        </w:rPr>
      </w:pPr>
      <w:bookmarkStart w:id="182" w:name="_Toc16617"/>
      <w:bookmarkStart w:id="183" w:name="_Toc29479"/>
      <w:bookmarkStart w:id="184" w:name="_Toc17073"/>
      <w:r>
        <w:rPr>
          <w:rFonts w:hint="eastAsia"/>
          <w:highlight w:val="none"/>
          <w:lang w:val="en-US" w:eastAsia="zh-CN"/>
        </w:rPr>
        <w:t>主要经验及做法</w:t>
      </w:r>
      <w:bookmarkEnd w:id="182"/>
      <w:bookmarkEnd w:id="183"/>
      <w:bookmarkEnd w:id="184"/>
    </w:p>
    <w:p w14:paraId="00D18DA5">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相比于以往，电梯更新改造所需费用除了通过业主自筹、申请物业维修基金等途径外，如今新增了国债补贴这个途径。2024年9月，住房和城乡建设部发布国债补贴政策，重点支持登记使用15年以上的住宅老旧电梯更新改造，优先支持登记使用20年以上的住宅老旧电梯实施更新，补助标准为更新电梯每台定额补贴15万元，改造电梯每台定额补贴5万元。在此政策推动下，克拉玛依区将投入使用时间长、配置水平低、运行故障率高、安全隐患突出、群众意愿强烈的住宅电梯纳入更新范围。最终由物业公司主动牵头，物业公司联系电梯公司进行检测、报价，并同时公开征集业主们自身的需求和意愿，让业主们选择心仪的电梯品牌和换梯方案。电梯公司进行勘探报价后，根据整体费用，物业牵头制定出楼层、面积、分摊系数的“众筹方案”分摊额外支出部分，通过公示和专项表决后签订合同，启动更换流程。项目的成功涉及多个部门的协同工作，通过有效的跨部门协作，确保老旧电梯更新改造项目实施的全面性和连续性。</w:t>
      </w:r>
    </w:p>
    <w:p w14:paraId="448A9BB1">
      <w:pPr>
        <w:pStyle w:val="4"/>
        <w:numPr>
          <w:ilvl w:val="0"/>
          <w:numId w:val="10"/>
        </w:numPr>
        <w:rPr>
          <w:rFonts w:hint="eastAsia" w:ascii="仿宋_GB2312" w:hAnsi="仿宋_GB2312" w:eastAsia="仿宋_GB2312" w:cs="仿宋_GB2312"/>
          <w:color w:val="auto"/>
          <w:highlight w:val="none"/>
          <w:lang w:val="en-US" w:eastAsia="zh-CN"/>
        </w:rPr>
      </w:pPr>
      <w:bookmarkStart w:id="185" w:name="_Toc4408"/>
      <w:bookmarkStart w:id="186" w:name="_Toc21539"/>
      <w:bookmarkStart w:id="187" w:name="_Toc14754"/>
      <w:r>
        <w:rPr>
          <w:rFonts w:hint="eastAsia"/>
          <w:highlight w:val="none"/>
          <w:lang w:val="en-US" w:eastAsia="zh-CN"/>
        </w:rPr>
        <w:t>存在问题及原因分析</w:t>
      </w:r>
      <w:bookmarkEnd w:id="185"/>
      <w:bookmarkEnd w:id="186"/>
      <w:bookmarkEnd w:id="187"/>
    </w:p>
    <w:p w14:paraId="3E53DB4A">
      <w:pPr>
        <w:pStyle w:val="5"/>
        <w:keepNext w:val="0"/>
        <w:keepLines w:val="0"/>
        <w:pageBreakBefore w:val="0"/>
        <w:numPr>
          <w:ilvl w:val="-1"/>
          <w:numId w:val="0"/>
        </w:numPr>
        <w:kinsoku/>
        <w:wordWrap/>
        <w:overflowPunct/>
        <w:topLinePunct w:val="0"/>
        <w:autoSpaceDE/>
        <w:autoSpaceDN/>
        <w:bidi w:val="0"/>
        <w:adjustRightInd/>
        <w:snapToGrid/>
        <w:spacing w:before="157" w:beforeLines="50" w:after="157" w:afterLines="50"/>
        <w:ind w:left="0" w:leftChars="0" w:firstLine="640" w:firstLineChars="0"/>
        <w:textAlignment w:val="auto"/>
        <w:rPr>
          <w:rFonts w:hint="eastAsia"/>
          <w:highlight w:val="none"/>
          <w:lang w:val="en-US" w:eastAsia="zh-CN"/>
        </w:rPr>
      </w:pPr>
      <w:r>
        <w:rPr>
          <w:rFonts w:hint="eastAsia"/>
          <w:highlight w:val="none"/>
          <w:lang w:val="en-US" w:eastAsia="zh-CN"/>
        </w:rPr>
        <w:t>（一）项目管理方面</w:t>
      </w:r>
    </w:p>
    <w:p w14:paraId="2353153B">
      <w:pPr>
        <w:keepNext w:val="0"/>
        <w:keepLines w:val="0"/>
        <w:pageBreakBefore w:val="0"/>
        <w:numPr>
          <w:ilvl w:val="-1"/>
          <w:numId w:val="0"/>
        </w:numPr>
        <w:kinsoku/>
        <w:wordWrap/>
        <w:overflowPunct/>
        <w:topLinePunct w:val="0"/>
        <w:autoSpaceDE/>
        <w:autoSpaceDN/>
        <w:bidi w:val="0"/>
        <w:adjustRightInd/>
        <w:snapToGrid/>
        <w:spacing w:before="157" w:beforeLines="50" w:after="157" w:afterLines="50"/>
        <w:ind w:left="640" w:leftChars="200" w:firstLine="0" w:firstLineChars="0"/>
        <w:textAlignment w:val="auto"/>
        <w:rPr>
          <w:rFonts w:hint="eastAsia" w:ascii="仿宋_GB2312" w:hAnsi="仿宋_GB2312" w:eastAsia="仿宋_GB2312" w:cs="仿宋_GB2312"/>
          <w:b/>
          <w:bCs/>
          <w:highlight w:val="none"/>
          <w:lang w:val="en-US" w:eastAsia="zh-CN"/>
        </w:rPr>
      </w:pPr>
      <w:r>
        <w:rPr>
          <w:rFonts w:hint="eastAsia" w:cs="仿宋_GB2312"/>
          <w:b/>
          <w:bCs/>
          <w:highlight w:val="none"/>
          <w:lang w:val="en-US" w:eastAsia="zh-CN"/>
        </w:rPr>
        <w:t>1.</w:t>
      </w:r>
      <w:r>
        <w:rPr>
          <w:rFonts w:hint="eastAsia" w:ascii="仿宋_GB2312" w:hAnsi="仿宋_GB2312" w:eastAsia="仿宋_GB2312" w:cs="仿宋_GB2312"/>
          <w:b/>
          <w:bCs/>
          <w:highlight w:val="none"/>
          <w:lang w:val="en-US" w:eastAsia="zh-CN"/>
        </w:rPr>
        <w:t>计划工期与实际工期差距较大</w:t>
      </w:r>
    </w:p>
    <w:p w14:paraId="3C63EA90">
      <w:pPr>
        <w:keepNext w:val="0"/>
        <w:keepLines w:val="0"/>
        <w:pageBreakBefore w:val="0"/>
        <w:numPr>
          <w:ilvl w:val="0"/>
          <w:numId w:val="0"/>
        </w:numPr>
        <w:kinsoku/>
        <w:wordWrap/>
        <w:overflowPunct/>
        <w:topLinePunct w:val="0"/>
        <w:autoSpaceDE/>
        <w:autoSpaceDN/>
        <w:bidi w:val="0"/>
        <w:adjustRightInd/>
        <w:snapToGrid/>
        <w:spacing w:before="157" w:beforeLines="50" w:after="157" w:afterLines="50"/>
        <w:ind w:left="0" w:leftChars="0" w:firstLine="640" w:firstLine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A2024-061天池北小区项目资金申请报告计划竣工时间为2024年12月31日，竣工日期为2025年4月25日，</w:t>
      </w:r>
      <w:r>
        <w:rPr>
          <w:rFonts w:hint="eastAsia" w:cs="仿宋_GB2312"/>
          <w:b w:val="0"/>
          <w:bCs w:val="0"/>
          <w:sz w:val="32"/>
          <w:szCs w:val="32"/>
          <w:highlight w:val="none"/>
          <w:lang w:val="en-US" w:eastAsia="zh-CN"/>
        </w:rPr>
        <w:t>实际工期</w:t>
      </w:r>
      <w:r>
        <w:rPr>
          <w:rFonts w:hint="eastAsia" w:ascii="仿宋_GB2312" w:hAnsi="仿宋_GB2312" w:eastAsia="仿宋_GB2312" w:cs="仿宋_GB2312"/>
          <w:b w:val="0"/>
          <w:bCs w:val="0"/>
          <w:sz w:val="32"/>
          <w:szCs w:val="32"/>
          <w:highlight w:val="none"/>
          <w:lang w:val="en-US" w:eastAsia="zh-CN"/>
        </w:rPr>
        <w:t>超3个月。</w:t>
      </w:r>
    </w:p>
    <w:p w14:paraId="743CB935">
      <w:pPr>
        <w:pStyle w:val="5"/>
        <w:numPr>
          <w:ilvl w:val="0"/>
          <w:numId w:val="0"/>
        </w:numPr>
        <w:bidi w:val="0"/>
        <w:ind w:left="0" w:leftChars="0" w:firstLine="643" w:firstLineChars="200"/>
        <w:rPr>
          <w:rFonts w:hint="eastAsia"/>
          <w:color w:val="auto"/>
          <w:highlight w:val="none"/>
          <w:lang w:val="en-US" w:eastAsia="zh-CN"/>
        </w:rPr>
      </w:pPr>
      <w:bookmarkStart w:id="188" w:name="_Toc18581"/>
      <w:bookmarkStart w:id="189" w:name="_Toc283"/>
      <w:bookmarkStart w:id="190" w:name="_Toc11545"/>
      <w:r>
        <w:rPr>
          <w:rFonts w:hint="eastAsia" w:ascii="仿宋_GB2312" w:hAnsi="仿宋_GB2312" w:eastAsia="楷体" w:cs="仿宋_GB2312"/>
          <w:b/>
          <w:color w:val="auto"/>
          <w:kern w:val="2"/>
          <w:sz w:val="32"/>
          <w:szCs w:val="28"/>
          <w:highlight w:val="none"/>
          <w:lang w:val="en-US" w:eastAsia="zh-CN" w:bidi="ar-SA"/>
        </w:rPr>
        <w:t>（</w:t>
      </w:r>
      <w:r>
        <w:rPr>
          <w:rFonts w:hint="eastAsia" w:cs="仿宋_GB2312"/>
          <w:b/>
          <w:color w:val="auto"/>
          <w:kern w:val="2"/>
          <w:sz w:val="32"/>
          <w:szCs w:val="28"/>
          <w:highlight w:val="none"/>
          <w:lang w:val="en-US" w:eastAsia="zh-CN" w:bidi="ar-SA"/>
        </w:rPr>
        <w:t>二</w:t>
      </w:r>
      <w:r>
        <w:rPr>
          <w:rFonts w:hint="eastAsia" w:ascii="仿宋_GB2312" w:hAnsi="仿宋_GB2312" w:eastAsia="楷体" w:cs="仿宋_GB2312"/>
          <w:b/>
          <w:color w:val="auto"/>
          <w:kern w:val="2"/>
          <w:sz w:val="32"/>
          <w:szCs w:val="28"/>
          <w:highlight w:val="none"/>
          <w:lang w:val="en-US" w:eastAsia="zh-CN" w:bidi="ar-SA"/>
        </w:rPr>
        <w:t>）</w:t>
      </w:r>
      <w:r>
        <w:rPr>
          <w:rFonts w:hint="eastAsia"/>
          <w:color w:val="auto"/>
          <w:highlight w:val="none"/>
          <w:lang w:val="en-US" w:eastAsia="zh-CN"/>
        </w:rPr>
        <w:t>绩效管理方面</w:t>
      </w:r>
      <w:bookmarkEnd w:id="188"/>
      <w:bookmarkEnd w:id="189"/>
      <w:bookmarkEnd w:id="190"/>
    </w:p>
    <w:p w14:paraId="521DC29F">
      <w:pPr>
        <w:numPr>
          <w:ilvl w:val="0"/>
          <w:numId w:val="26"/>
        </w:numPr>
        <w:ind w:left="0" w:leftChars="0" w:firstLine="643" w:firstLineChars="200"/>
        <w:rPr>
          <w:rFonts w:hint="eastAsia"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项目绩效目标管理工作成熟度不足</w:t>
      </w:r>
    </w:p>
    <w:p w14:paraId="4E869E65">
      <w:pPr>
        <w:numPr>
          <w:ilvl w:val="0"/>
          <w:numId w:val="0"/>
        </w:numPr>
        <w:ind w:left="0" w:leftChars="0" w:firstLine="640" w:firstLineChars="0"/>
        <w:outlineLvl w:val="9"/>
        <w:rPr>
          <w:rFonts w:hint="eastAsia" w:ascii="仿宋_GB2312" w:hAnsi="仿宋_GB2312" w:eastAsia="仿宋_GB2312" w:cs="仿宋_GB2312"/>
          <w:b w:val="0"/>
          <w:bCs w:val="0"/>
          <w:color w:val="auto"/>
          <w:highlight w:val="none"/>
          <w:lang w:val="en-US" w:eastAsia="zh-CN"/>
        </w:rPr>
      </w:pPr>
      <w:r>
        <w:rPr>
          <w:rFonts w:hint="eastAsia" w:ascii="仿宋_GB2312" w:hAnsi="仿宋_GB2312" w:eastAsia="仿宋_GB2312" w:cs="仿宋_GB2312"/>
          <w:b w:val="0"/>
          <w:bCs w:val="0"/>
          <w:color w:val="auto"/>
          <w:highlight w:val="none"/>
          <w:lang w:val="en-US" w:eastAsia="zh-CN"/>
        </w:rPr>
        <w:t>项目绩效指标设置不够合理，如“政府采购率”指标，本项目不是政府采购，此指标不适用；设置“设备采购完成时间”用于反映项目时效性，但项目时效主要影响因素为工期，设备采购完成时间并不能充分反映项目时效</w:t>
      </w:r>
      <w:r>
        <w:rPr>
          <w:rFonts w:hint="eastAsia" w:cs="仿宋_GB2312"/>
          <w:b w:val="0"/>
          <w:bCs w:val="0"/>
          <w:color w:val="auto"/>
          <w:highlight w:val="none"/>
          <w:lang w:val="en-US" w:eastAsia="zh-CN"/>
        </w:rPr>
        <w:t>。</w:t>
      </w:r>
    </w:p>
    <w:p w14:paraId="7981DB60">
      <w:pPr>
        <w:pStyle w:val="4"/>
        <w:numPr>
          <w:ilvl w:val="0"/>
          <w:numId w:val="10"/>
        </w:numPr>
        <w:bidi w:val="0"/>
        <w:rPr>
          <w:rFonts w:hint="eastAsia"/>
          <w:highlight w:val="none"/>
          <w:lang w:val="en-US" w:eastAsia="zh-CN"/>
        </w:rPr>
      </w:pPr>
      <w:bookmarkStart w:id="191" w:name="_Toc32144"/>
      <w:bookmarkStart w:id="192" w:name="_Toc32680"/>
      <w:bookmarkStart w:id="193" w:name="_Toc17245"/>
      <w:r>
        <w:rPr>
          <w:rFonts w:hint="eastAsia"/>
          <w:highlight w:val="none"/>
          <w:lang w:val="en-US" w:eastAsia="zh-CN"/>
        </w:rPr>
        <w:t>针对问题提出的建议</w:t>
      </w:r>
      <w:bookmarkEnd w:id="191"/>
      <w:bookmarkEnd w:id="192"/>
      <w:bookmarkEnd w:id="193"/>
    </w:p>
    <w:p w14:paraId="0ED78FE2">
      <w:pPr>
        <w:bidi w:val="0"/>
        <w:ind w:left="0" w:leftChars="0" w:firstLine="640" w:firstLineChars="0"/>
        <w:outlineLvl w:val="2"/>
        <w:rPr>
          <w:rFonts w:hint="eastAsia" w:ascii="楷体" w:hAnsi="楷体" w:eastAsia="楷体" w:cs="楷体"/>
          <w:b/>
          <w:bCs w:val="0"/>
          <w:highlight w:val="none"/>
          <w:lang w:val="en-US" w:eastAsia="zh-CN"/>
        </w:rPr>
      </w:pPr>
      <w:r>
        <w:rPr>
          <w:rFonts w:hint="eastAsia" w:ascii="楷体" w:hAnsi="楷体" w:eastAsia="楷体" w:cs="楷体"/>
          <w:b/>
          <w:bCs w:val="0"/>
          <w:kern w:val="2"/>
          <w:sz w:val="32"/>
          <w:szCs w:val="28"/>
          <w:highlight w:val="none"/>
          <w:lang w:val="en-US" w:eastAsia="zh-CN" w:bidi="ar-SA"/>
        </w:rPr>
        <w:t>（一）</w:t>
      </w:r>
      <w:r>
        <w:rPr>
          <w:rFonts w:hint="eastAsia" w:ascii="楷体" w:hAnsi="楷体" w:eastAsia="楷体" w:cs="楷体"/>
          <w:b/>
          <w:bCs w:val="0"/>
          <w:highlight w:val="none"/>
          <w:lang w:val="en-US" w:eastAsia="zh-CN"/>
        </w:rPr>
        <w:t>项目管理方面</w:t>
      </w:r>
    </w:p>
    <w:p w14:paraId="69F33999">
      <w:pPr>
        <w:numPr>
          <w:ilvl w:val="-1"/>
          <w:numId w:val="0"/>
        </w:numPr>
        <w:ind w:left="640" w:leftChars="200" w:firstLine="0" w:firstLineChars="0"/>
        <w:rPr>
          <w:rFonts w:hint="eastAsia" w:ascii="仿宋_GB2312" w:hAnsi="仿宋_GB2312" w:eastAsia="仿宋_GB2312" w:cs="仿宋_GB2312"/>
          <w:b/>
          <w:bCs/>
          <w:highlight w:val="none"/>
          <w:lang w:val="en-US" w:eastAsia="zh-CN"/>
        </w:rPr>
      </w:pPr>
      <w:r>
        <w:rPr>
          <w:rFonts w:hint="eastAsia" w:cs="仿宋_GB2312"/>
          <w:b/>
          <w:bCs/>
          <w:highlight w:val="none"/>
          <w:lang w:val="en-US" w:eastAsia="zh-CN"/>
        </w:rPr>
        <w:t>1.</w:t>
      </w:r>
      <w:r>
        <w:rPr>
          <w:rFonts w:hint="eastAsia" w:ascii="仿宋_GB2312" w:hAnsi="仿宋_GB2312" w:eastAsia="仿宋_GB2312" w:cs="仿宋_GB2312"/>
          <w:b/>
          <w:bCs/>
          <w:highlight w:val="none"/>
          <w:lang w:val="en-US" w:eastAsia="zh-CN"/>
        </w:rPr>
        <w:t>提升项目管理水平，确保项目进度</w:t>
      </w:r>
    </w:p>
    <w:p w14:paraId="393B41C4">
      <w:pPr>
        <w:bidi w:val="0"/>
        <w:ind w:firstLine="0" w:firstLineChars="0"/>
        <w:rPr>
          <w:rFonts w:hint="eastAsia"/>
          <w:highlight w:val="none"/>
          <w:lang w:val="en-US" w:eastAsia="zh-CN"/>
        </w:rPr>
      </w:pPr>
      <w:r>
        <w:rPr>
          <w:rFonts w:hint="eastAsia"/>
          <w:highlight w:val="none"/>
          <w:lang w:val="en-US" w:eastAsia="zh-CN"/>
        </w:rPr>
        <w:t>建议克拉玛依区住房和城乡建设局申报此类项目时，应基于资金实际下达时间、业主决策周期、设备生产周期及春节等不可抗力因素，科学设置计划竣工时间，避免计划与执行严重脱节。同时，考核应区分因客观流程导致的合理延后与因管理不力造成的延误，实施差异化评价，重在保障工程质量与施工安全。。</w:t>
      </w:r>
    </w:p>
    <w:p w14:paraId="6239B76A">
      <w:pPr>
        <w:pStyle w:val="5"/>
        <w:numPr>
          <w:ilvl w:val="0"/>
          <w:numId w:val="0"/>
        </w:numPr>
        <w:bidi w:val="0"/>
        <w:ind w:left="0" w:leftChars="0" w:firstLine="643" w:firstLineChars="200"/>
        <w:rPr>
          <w:rFonts w:hint="eastAsia"/>
          <w:highlight w:val="none"/>
          <w:lang w:val="en-US" w:eastAsia="zh-CN"/>
        </w:rPr>
      </w:pPr>
      <w:bookmarkStart w:id="194" w:name="_Toc7874"/>
      <w:bookmarkStart w:id="195" w:name="_Toc25329"/>
      <w:bookmarkStart w:id="196" w:name="_Toc6505"/>
      <w:r>
        <w:rPr>
          <w:rFonts w:hint="eastAsia" w:ascii="仿宋_GB2312" w:hAnsi="仿宋_GB2312" w:eastAsia="楷体" w:cs="仿宋_GB2312"/>
          <w:b/>
          <w:kern w:val="2"/>
          <w:sz w:val="32"/>
          <w:szCs w:val="28"/>
          <w:highlight w:val="none"/>
          <w:lang w:val="en-US" w:eastAsia="zh-CN" w:bidi="ar-SA"/>
        </w:rPr>
        <w:t>（</w:t>
      </w:r>
      <w:r>
        <w:rPr>
          <w:rFonts w:hint="eastAsia" w:cs="仿宋_GB2312"/>
          <w:b/>
          <w:kern w:val="2"/>
          <w:sz w:val="32"/>
          <w:szCs w:val="28"/>
          <w:highlight w:val="none"/>
          <w:lang w:val="en-US" w:eastAsia="zh-CN" w:bidi="ar-SA"/>
        </w:rPr>
        <w:t>二</w:t>
      </w:r>
      <w:r>
        <w:rPr>
          <w:rFonts w:hint="eastAsia" w:ascii="仿宋_GB2312" w:hAnsi="仿宋_GB2312" w:eastAsia="楷体" w:cs="仿宋_GB2312"/>
          <w:b/>
          <w:kern w:val="2"/>
          <w:sz w:val="32"/>
          <w:szCs w:val="28"/>
          <w:highlight w:val="none"/>
          <w:lang w:val="en-US" w:eastAsia="zh-CN" w:bidi="ar-SA"/>
        </w:rPr>
        <w:t>）</w:t>
      </w:r>
      <w:r>
        <w:rPr>
          <w:rFonts w:hint="eastAsia"/>
          <w:highlight w:val="none"/>
          <w:lang w:val="en-US" w:eastAsia="zh-CN"/>
        </w:rPr>
        <w:t>绩效管理方面</w:t>
      </w:r>
      <w:bookmarkEnd w:id="194"/>
      <w:bookmarkEnd w:id="195"/>
      <w:bookmarkEnd w:id="196"/>
    </w:p>
    <w:p w14:paraId="3FA8E914">
      <w:pPr>
        <w:numPr>
          <w:ilvl w:val="0"/>
          <w:numId w:val="27"/>
        </w:numPr>
        <w:ind w:left="0" w:leftChars="0" w:firstLine="643" w:firstLineChars="200"/>
        <w:rPr>
          <w:rFonts w:hint="eastAsia"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加强绩效目标管理，提升绩效目标编制水平</w:t>
      </w:r>
    </w:p>
    <w:p w14:paraId="1C6F4D30">
      <w:pPr>
        <w:numPr>
          <w:ilvl w:val="0"/>
          <w:numId w:val="0"/>
        </w:numPr>
        <w:ind w:left="0" w:leftChars="0" w:firstLine="640" w:firstLineChars="200"/>
        <w:rPr>
          <w:rFonts w:hint="eastAsia" w:ascii="仿宋_GB2312" w:hAnsi="仿宋_GB2312" w:eastAsia="仿宋_GB2312" w:cs="仿宋_GB2312"/>
          <w:b w:val="0"/>
          <w:bCs w:val="0"/>
          <w:highlight w:val="none"/>
          <w:lang w:val="en-US" w:eastAsia="zh-CN"/>
        </w:rPr>
      </w:pPr>
      <w:r>
        <w:rPr>
          <w:rFonts w:hint="eastAsia"/>
          <w:highlight w:val="none"/>
          <w:lang w:val="en-US" w:eastAsia="zh-CN"/>
        </w:rPr>
        <w:t>加强学习研究，提高绩效目标科学性。建议克拉玛依区住房和城乡建设局加强对预算绩效管理相关规章制度的学习和研究，严格按照“指向明确、细化量化、合理可行、相应匹配”的原则编制项目绩效目标，提高绩效目标设置的科学性。</w:t>
      </w:r>
    </w:p>
    <w:p w14:paraId="29AE28C0">
      <w:pPr>
        <w:pStyle w:val="4"/>
        <w:numPr>
          <w:ilvl w:val="0"/>
          <w:numId w:val="10"/>
        </w:numPr>
        <w:bidi w:val="0"/>
        <w:rPr>
          <w:rFonts w:hint="eastAsia"/>
          <w:highlight w:val="none"/>
          <w:lang w:val="en-US" w:eastAsia="zh-CN"/>
        </w:rPr>
      </w:pPr>
      <w:bookmarkStart w:id="197" w:name="_Toc12250"/>
      <w:bookmarkStart w:id="198" w:name="_Toc2109"/>
      <w:bookmarkStart w:id="199" w:name="_Toc8627"/>
      <w:r>
        <w:rPr>
          <w:rFonts w:hint="eastAsia"/>
          <w:highlight w:val="none"/>
          <w:lang w:val="en-US" w:eastAsia="zh-CN"/>
        </w:rPr>
        <w:t>绩效评价结果应用建议</w:t>
      </w:r>
      <w:bookmarkEnd w:id="197"/>
      <w:bookmarkEnd w:id="198"/>
      <w:bookmarkEnd w:id="199"/>
    </w:p>
    <w:p w14:paraId="7116FAD7">
      <w:pPr>
        <w:pStyle w:val="5"/>
        <w:numPr>
          <w:ilvl w:val="0"/>
          <w:numId w:val="28"/>
        </w:numPr>
        <w:bidi w:val="0"/>
        <w:ind w:left="420" w:leftChars="0" w:firstLine="218" w:firstLineChars="68"/>
        <w:rPr>
          <w:rFonts w:hint="eastAsia"/>
          <w:highlight w:val="none"/>
          <w:lang w:val="en-US" w:eastAsia="zh-CN"/>
        </w:rPr>
      </w:pPr>
      <w:bookmarkStart w:id="200" w:name="_Toc28728"/>
      <w:bookmarkStart w:id="201" w:name="_Toc24039"/>
      <w:bookmarkStart w:id="202" w:name="_Toc21806"/>
      <w:r>
        <w:rPr>
          <w:rFonts w:hint="eastAsia"/>
          <w:highlight w:val="none"/>
          <w:lang w:val="en-US" w:eastAsia="zh-CN"/>
        </w:rPr>
        <w:t>对评价中发现的问题进行整改</w:t>
      </w:r>
      <w:bookmarkEnd w:id="200"/>
      <w:bookmarkEnd w:id="201"/>
      <w:bookmarkEnd w:id="202"/>
    </w:p>
    <w:p w14:paraId="735344DF">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建议克拉玛依区住房和城乡建设局对标对表、拉单列表，及时研究制定整改措施，确定整改期限，积极整改，加强制度建设，健全完善资金管理、项目管理和绩效管理等相关制度和办法，按期完成整改任务。</w:t>
      </w:r>
    </w:p>
    <w:p w14:paraId="0BAA938A">
      <w:pPr>
        <w:pStyle w:val="5"/>
        <w:numPr>
          <w:ilvl w:val="0"/>
          <w:numId w:val="28"/>
        </w:numPr>
        <w:bidi w:val="0"/>
        <w:ind w:left="420" w:leftChars="0" w:firstLine="218" w:firstLineChars="68"/>
        <w:rPr>
          <w:rFonts w:hint="eastAsia"/>
          <w:highlight w:val="none"/>
          <w:lang w:val="en-US" w:eastAsia="zh-CN"/>
        </w:rPr>
      </w:pPr>
      <w:bookmarkStart w:id="203" w:name="_Toc31819"/>
      <w:bookmarkStart w:id="204" w:name="_Toc10853"/>
      <w:bookmarkStart w:id="205" w:name="_Toc14911"/>
      <w:r>
        <w:rPr>
          <w:rFonts w:hint="eastAsia"/>
          <w:highlight w:val="none"/>
          <w:lang w:val="en-US" w:eastAsia="zh-CN"/>
        </w:rPr>
        <w:t>下一年度预算安排</w:t>
      </w:r>
      <w:bookmarkEnd w:id="203"/>
      <w:bookmarkEnd w:id="204"/>
      <w:bookmarkEnd w:id="205"/>
    </w:p>
    <w:p w14:paraId="4C50F668">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建议根据克拉玛依区财政局关于预算绩效管理相关政策要求，将本次重点项目绩效评价结果作为克拉玛依区住房和城乡建设局次年类似资金安排的参考依据，逐步健全绩效管理激励约束机制，促使部门履行好预算绩效管理的主体责任，促进克拉玛依区住房和城乡建设局的预算编制更精准更科学更完整，绩效目标设置更明确更细化更全面，切实提高财政资源配置效率和使用效率。</w:t>
      </w:r>
    </w:p>
    <w:p w14:paraId="38A1D719">
      <w:pPr>
        <w:pStyle w:val="5"/>
        <w:numPr>
          <w:ilvl w:val="0"/>
          <w:numId w:val="28"/>
        </w:numPr>
        <w:bidi w:val="0"/>
        <w:ind w:left="420" w:leftChars="0" w:firstLine="218" w:firstLineChars="68"/>
        <w:rPr>
          <w:rFonts w:hint="eastAsia"/>
          <w:highlight w:val="none"/>
          <w:lang w:val="en-US" w:eastAsia="zh-CN"/>
        </w:rPr>
      </w:pPr>
      <w:bookmarkStart w:id="206" w:name="_Toc24316"/>
      <w:bookmarkStart w:id="207" w:name="_Toc14391"/>
      <w:bookmarkStart w:id="208" w:name="_Toc485"/>
      <w:r>
        <w:rPr>
          <w:rFonts w:hint="eastAsia"/>
          <w:highlight w:val="none"/>
          <w:lang w:val="en-US" w:eastAsia="zh-CN"/>
        </w:rPr>
        <w:t>评价结果公开</w:t>
      </w:r>
      <w:bookmarkEnd w:id="206"/>
      <w:bookmarkEnd w:id="207"/>
      <w:bookmarkEnd w:id="208"/>
    </w:p>
    <w:p w14:paraId="504F125F">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建议按照政府信息公开等有关要求，遵循“谁组织实施、谁进行公开”的原则，根据上级统一部署，对绩效评价结果采取适度公开，提升绩效评价社会参与度。</w:t>
      </w:r>
    </w:p>
    <w:p w14:paraId="5C1AA354">
      <w:pPr>
        <w:pStyle w:val="4"/>
        <w:numPr>
          <w:ilvl w:val="0"/>
          <w:numId w:val="10"/>
        </w:numPr>
        <w:bidi w:val="0"/>
        <w:rPr>
          <w:rFonts w:hint="eastAsia"/>
          <w:highlight w:val="none"/>
          <w:lang w:val="en-US" w:eastAsia="zh-CN"/>
        </w:rPr>
      </w:pPr>
      <w:bookmarkStart w:id="209" w:name="_Toc29141"/>
      <w:bookmarkStart w:id="210" w:name="_Toc20980"/>
      <w:bookmarkStart w:id="211" w:name="_Toc23287"/>
      <w:r>
        <w:rPr>
          <w:rFonts w:hint="eastAsia"/>
          <w:highlight w:val="none"/>
          <w:lang w:val="en-US" w:eastAsia="zh-CN"/>
        </w:rPr>
        <w:t>其他需要说明的情况</w:t>
      </w:r>
      <w:bookmarkEnd w:id="209"/>
      <w:bookmarkEnd w:id="210"/>
      <w:bookmarkEnd w:id="211"/>
    </w:p>
    <w:p w14:paraId="6E8323FB">
      <w:pPr>
        <w:pStyle w:val="5"/>
        <w:numPr>
          <w:ilvl w:val="0"/>
          <w:numId w:val="29"/>
        </w:numPr>
        <w:bidi w:val="0"/>
        <w:ind w:left="420" w:leftChars="0" w:firstLine="218" w:firstLineChars="68"/>
        <w:rPr>
          <w:rFonts w:hint="eastAsia"/>
          <w:highlight w:val="none"/>
          <w:lang w:val="en-US" w:eastAsia="zh-CN"/>
        </w:rPr>
      </w:pPr>
      <w:bookmarkStart w:id="212" w:name="_Toc30119"/>
      <w:bookmarkStart w:id="213" w:name="_Toc13943"/>
      <w:bookmarkStart w:id="214" w:name="_Toc4954"/>
      <w:r>
        <w:rPr>
          <w:rFonts w:hint="eastAsia"/>
          <w:highlight w:val="none"/>
          <w:lang w:val="en-US" w:eastAsia="zh-CN"/>
        </w:rPr>
        <w:t>关于评价责任的说明</w:t>
      </w:r>
      <w:bookmarkEnd w:id="212"/>
      <w:bookmarkEnd w:id="213"/>
      <w:bookmarkEnd w:id="214"/>
    </w:p>
    <w:p w14:paraId="7604A423">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克拉玛依区住房和城乡建设局提供了绩效评价报告相关的大部分基础工作材料和资金财务资料，并对其真实性、合法性、完整性负责。绩效评价结论的可靠性基于相关部门和单位提供资料真实性、完整性，项目绩效评价小组已尽可能地收集更为全面、有效、准确的文件和数据，但由于受客观因素的限制，项目绩效评价小组只能在上述单位提供现有资料的前提下，结合应有的职业判断作出尽可能可靠的评价结论。本报告使用人对评价结果的把握应建立在对本报告所提供的有关评价结果的各项条件及说明的认真阅读和理解的基础之上。</w:t>
      </w:r>
    </w:p>
    <w:p w14:paraId="709CAC55">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2.我司与委托方和预算单位之间不存在任何特殊的、需要回避的利害关系，项目绩效评价小组成员在开展绩效评价过程中恪守了职业道德规范。</w:t>
      </w:r>
    </w:p>
    <w:p w14:paraId="78877877">
      <w:pPr>
        <w:pStyle w:val="5"/>
        <w:numPr>
          <w:ilvl w:val="0"/>
          <w:numId w:val="29"/>
        </w:numPr>
        <w:bidi w:val="0"/>
        <w:ind w:left="420" w:leftChars="0" w:firstLine="218" w:firstLineChars="68"/>
        <w:rPr>
          <w:rFonts w:hint="eastAsia"/>
          <w:highlight w:val="none"/>
          <w:lang w:val="en-US" w:eastAsia="zh-CN"/>
        </w:rPr>
      </w:pPr>
      <w:bookmarkStart w:id="215" w:name="_Toc27551"/>
      <w:bookmarkStart w:id="216" w:name="_Toc18652"/>
      <w:bookmarkStart w:id="217" w:name="_Toc8082"/>
      <w:r>
        <w:rPr>
          <w:rFonts w:hint="eastAsia"/>
          <w:highlight w:val="none"/>
          <w:lang w:val="en-US" w:eastAsia="zh-CN"/>
        </w:rPr>
        <w:t>本次绩效评价的局限性</w:t>
      </w:r>
      <w:bookmarkEnd w:id="215"/>
      <w:bookmarkEnd w:id="216"/>
      <w:bookmarkEnd w:id="217"/>
    </w:p>
    <w:p w14:paraId="719D454A">
      <w:pPr>
        <w:ind w:left="0" w:leftChars="0" w:firstLine="640" w:firstLineChars="20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本次绩效评价采用“定量指标体系的打分评价”+“定性调查信息的归纳和提炼”两种方式互相补充，来构成对本次项目的完整评价。评价指标体系的设计与评价指标设置的完整性、科学合理程度会影响评价结果的全面性。评价结果与自评表、自评报告评分结果不具横向可比性。</w:t>
      </w:r>
    </w:p>
    <w:p w14:paraId="4CD1C429">
      <w:pPr>
        <w:rPr>
          <w:rFonts w:hint="eastAsia" w:ascii="仿宋_GB2312" w:hAnsi="仿宋_GB2312" w:eastAsia="仿宋_GB2312" w:cs="仿宋_GB2312"/>
          <w:highlight w:val="none"/>
          <w:lang w:val="en-US" w:eastAsia="zh-CN"/>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4465C32E">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本次绩效评价相关附件目录如下：</w:t>
      </w:r>
    </w:p>
    <w:p w14:paraId="2C5F27D4">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附件1：综合评分表</w:t>
      </w:r>
    </w:p>
    <w:p w14:paraId="3BB5DAD8">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附件2：绩效评价报告征求部门意见反馈表</w:t>
      </w:r>
    </w:p>
    <w:p w14:paraId="4C7F7B1A">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附件3：访谈报告</w:t>
      </w:r>
    </w:p>
    <w:p w14:paraId="4076B5AC">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附件4：调查问卷及结果分析</w:t>
      </w:r>
    </w:p>
    <w:p w14:paraId="2FE7F6FD">
      <w:pP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附件5：现场调研照片</w:t>
      </w:r>
    </w:p>
    <w:p w14:paraId="2F2CDADB">
      <w:pPr>
        <w:rPr>
          <w:rFonts w:hint="eastAsia"/>
          <w:highlight w:val="none"/>
          <w:lang w:val="en-US" w:eastAsia="zh-CN"/>
        </w:rPr>
      </w:pPr>
      <w:r>
        <w:rPr>
          <w:rFonts w:hint="eastAsia" w:ascii="仿宋_GB2312" w:hAnsi="仿宋_GB2312" w:eastAsia="仿宋_GB2312" w:cs="仿宋_GB2312"/>
          <w:highlight w:val="none"/>
          <w:lang w:val="en-US" w:eastAsia="zh-CN"/>
        </w:rPr>
        <w:t>附件6：项目单位自评表及自评报告</w:t>
      </w:r>
    </w:p>
    <w:p w14:paraId="01C2ECC9">
      <w:pPr>
        <w:outlineLvl w:val="9"/>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附件7：相关文件</w:t>
      </w:r>
    </w:p>
    <w:p w14:paraId="0747F37A">
      <w:pPr>
        <w:rPr>
          <w:rFonts w:hint="eastAsia" w:ascii="仿宋_GB2312" w:hAnsi="仿宋_GB2312" w:eastAsia="仿宋_GB2312" w:cs="仿宋_GB2312"/>
          <w:highlight w:val="none"/>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5FFA93C">
      <w:pPr>
        <w:ind w:left="0" w:leftChars="0" w:firstLine="0" w:firstLineChars="0"/>
        <w:outlineLvl w:val="0"/>
        <w:rPr>
          <w:rFonts w:hint="eastAsia" w:ascii="仿宋_GB2312" w:hAnsi="仿宋_GB2312" w:eastAsia="仿宋_GB2312" w:cs="仿宋_GB2312"/>
          <w:highlight w:val="none"/>
          <w:lang w:val="en-US" w:eastAsia="zh-CN"/>
        </w:rPr>
      </w:pPr>
      <w:bookmarkStart w:id="218" w:name="_Toc20594"/>
      <w:bookmarkStart w:id="219" w:name="_Toc29599"/>
      <w:bookmarkStart w:id="220" w:name="_Toc2707"/>
      <w:r>
        <w:rPr>
          <w:rFonts w:hint="eastAsia" w:ascii="仿宋_GB2312" w:hAnsi="仿宋_GB2312" w:eastAsia="仿宋_GB2312" w:cs="仿宋_GB2312"/>
          <w:highlight w:val="none"/>
          <w:lang w:val="en-US" w:eastAsia="zh-CN"/>
        </w:rPr>
        <w:t>附件1：综合评分表</w:t>
      </w:r>
      <w:bookmarkEnd w:id="218"/>
      <w:bookmarkEnd w:id="219"/>
      <w:bookmarkEnd w:id="220"/>
    </w:p>
    <w:p w14:paraId="0909EAA9">
      <w:pPr>
        <w:ind w:left="0" w:leftChars="0" w:firstLine="0" w:firstLineChars="0"/>
        <w:rPr>
          <w:rFonts w:hint="eastAsia" w:ascii="仿宋_GB2312" w:hAnsi="仿宋_GB2312" w:eastAsia="仿宋_GB2312" w:cs="仿宋_GB2312"/>
          <w:highlight w:val="none"/>
          <w:lang w:val="en-US" w:eastAsia="zh-CN"/>
        </w:rPr>
      </w:pPr>
    </w:p>
    <w:tbl>
      <w:tblPr>
        <w:tblStyle w:val="14"/>
        <w:tblW w:w="15948" w:type="dxa"/>
        <w:tblInd w:w="10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7"/>
        <w:gridCol w:w="1260"/>
        <w:gridCol w:w="631"/>
        <w:gridCol w:w="1109"/>
        <w:gridCol w:w="885"/>
        <w:gridCol w:w="1429"/>
        <w:gridCol w:w="1183"/>
        <w:gridCol w:w="1732"/>
        <w:gridCol w:w="1149"/>
        <w:gridCol w:w="2085"/>
        <w:gridCol w:w="1136"/>
        <w:gridCol w:w="1136"/>
        <w:gridCol w:w="1466"/>
      </w:tblGrid>
      <w:tr w14:paraId="24E80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8" w:hRule="atLeast"/>
        </w:trPr>
        <w:tc>
          <w:tcPr>
            <w:tcW w:w="747" w:type="dxa"/>
            <w:tcBorders>
              <w:top w:val="single" w:color="000000" w:sz="4" w:space="0"/>
              <w:left w:val="single" w:color="000000" w:sz="4" w:space="0"/>
              <w:bottom w:val="single" w:color="auto" w:sz="4" w:space="0"/>
              <w:right w:val="single" w:color="000000" w:sz="4" w:space="0"/>
            </w:tcBorders>
            <w:shd w:val="clear" w:color="auto" w:fill="auto"/>
            <w:textDirection w:val="tbRlV"/>
            <w:vAlign w:val="center"/>
          </w:tcPr>
          <w:p w14:paraId="24DA6B3F">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b/>
                <w:bCs/>
                <w:i w:val="0"/>
                <w:iCs w:val="0"/>
                <w:color w:val="000000"/>
                <w:sz w:val="22"/>
                <w:szCs w:val="22"/>
                <w:highlight w:val="none"/>
                <w:u w:val="none"/>
              </w:rPr>
            </w:pPr>
            <w:r>
              <w:rPr>
                <w:rFonts w:hint="eastAsia" w:ascii="仿宋_GB2312" w:hAnsi="仿宋_GB2312" w:eastAsia="仿宋_GB2312" w:cs="仿宋_GB2312"/>
                <w:b/>
                <w:bCs/>
                <w:i w:val="0"/>
                <w:iCs w:val="0"/>
                <w:color w:val="000000"/>
                <w:kern w:val="0"/>
                <w:sz w:val="22"/>
                <w:szCs w:val="22"/>
                <w:highlight w:val="none"/>
                <w:u w:val="none"/>
                <w:lang w:val="en-US" w:eastAsia="zh-CN" w:bidi="ar"/>
              </w:rPr>
              <w:t>序号</w:t>
            </w:r>
          </w:p>
        </w:tc>
        <w:tc>
          <w:tcPr>
            <w:tcW w:w="1260" w:type="dxa"/>
            <w:tcBorders>
              <w:top w:val="single" w:color="000000" w:sz="4" w:space="0"/>
              <w:left w:val="single" w:color="000000" w:sz="4" w:space="0"/>
              <w:bottom w:val="single" w:color="auto" w:sz="4" w:space="0"/>
              <w:right w:val="single" w:color="000000" w:sz="4" w:space="0"/>
            </w:tcBorders>
            <w:shd w:val="clear" w:color="auto" w:fill="auto"/>
            <w:vAlign w:val="center"/>
          </w:tcPr>
          <w:p w14:paraId="748262E4">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b/>
                <w:bCs/>
                <w:i w:val="0"/>
                <w:iCs w:val="0"/>
                <w:color w:val="000000"/>
                <w:sz w:val="22"/>
                <w:szCs w:val="22"/>
                <w:highlight w:val="none"/>
                <w:u w:val="none"/>
              </w:rPr>
            </w:pPr>
            <w:r>
              <w:rPr>
                <w:rFonts w:hint="eastAsia" w:ascii="仿宋_GB2312" w:hAnsi="仿宋_GB2312" w:eastAsia="仿宋_GB2312" w:cs="仿宋_GB2312"/>
                <w:b/>
                <w:bCs/>
                <w:i w:val="0"/>
                <w:iCs w:val="0"/>
                <w:color w:val="000000"/>
                <w:kern w:val="0"/>
                <w:sz w:val="22"/>
                <w:szCs w:val="22"/>
                <w:highlight w:val="none"/>
                <w:u w:val="none"/>
                <w:lang w:val="en-US" w:eastAsia="zh-CN" w:bidi="ar"/>
              </w:rPr>
              <w:t>一级指标</w:t>
            </w:r>
          </w:p>
        </w:tc>
        <w:tc>
          <w:tcPr>
            <w:tcW w:w="631" w:type="dxa"/>
            <w:tcBorders>
              <w:top w:val="single" w:color="000000" w:sz="4" w:space="0"/>
              <w:left w:val="single" w:color="000000" w:sz="4" w:space="0"/>
              <w:bottom w:val="single" w:color="auto" w:sz="4" w:space="0"/>
              <w:right w:val="single" w:color="000000" w:sz="4" w:space="0"/>
            </w:tcBorders>
            <w:shd w:val="clear" w:color="auto" w:fill="auto"/>
            <w:textDirection w:val="tbRlV"/>
            <w:vAlign w:val="center"/>
          </w:tcPr>
          <w:p w14:paraId="00A25FA3">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b/>
                <w:bCs/>
                <w:i w:val="0"/>
                <w:iCs w:val="0"/>
                <w:color w:val="000000"/>
                <w:sz w:val="22"/>
                <w:szCs w:val="22"/>
                <w:highlight w:val="none"/>
                <w:u w:val="none"/>
              </w:rPr>
            </w:pPr>
            <w:r>
              <w:rPr>
                <w:rFonts w:hint="eastAsia" w:ascii="仿宋_GB2312" w:hAnsi="仿宋_GB2312" w:eastAsia="仿宋_GB2312" w:cs="仿宋_GB2312"/>
                <w:b/>
                <w:bCs/>
                <w:i w:val="0"/>
                <w:iCs w:val="0"/>
                <w:color w:val="000000"/>
                <w:kern w:val="0"/>
                <w:sz w:val="22"/>
                <w:szCs w:val="22"/>
                <w:highlight w:val="none"/>
                <w:u w:val="none"/>
                <w:lang w:val="en-US" w:eastAsia="zh-CN" w:bidi="ar"/>
              </w:rPr>
              <w:t>二级指标</w:t>
            </w:r>
          </w:p>
        </w:tc>
        <w:tc>
          <w:tcPr>
            <w:tcW w:w="1109" w:type="dxa"/>
            <w:tcBorders>
              <w:top w:val="single" w:color="000000" w:sz="4" w:space="0"/>
              <w:left w:val="single" w:color="000000" w:sz="4" w:space="0"/>
              <w:bottom w:val="single" w:color="auto" w:sz="4" w:space="0"/>
              <w:right w:val="single" w:color="000000" w:sz="4" w:space="0"/>
            </w:tcBorders>
            <w:shd w:val="clear" w:color="auto" w:fill="auto"/>
            <w:vAlign w:val="center"/>
          </w:tcPr>
          <w:p w14:paraId="7A7C0BC4">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b/>
                <w:bCs/>
                <w:i w:val="0"/>
                <w:iCs w:val="0"/>
                <w:color w:val="000000"/>
                <w:sz w:val="22"/>
                <w:szCs w:val="22"/>
                <w:highlight w:val="none"/>
                <w:u w:val="none"/>
              </w:rPr>
            </w:pPr>
            <w:r>
              <w:rPr>
                <w:rFonts w:hint="eastAsia" w:ascii="仿宋_GB2312" w:hAnsi="仿宋_GB2312" w:eastAsia="仿宋_GB2312" w:cs="仿宋_GB2312"/>
                <w:b/>
                <w:bCs/>
                <w:i w:val="0"/>
                <w:iCs w:val="0"/>
                <w:color w:val="000000"/>
                <w:kern w:val="0"/>
                <w:sz w:val="22"/>
                <w:szCs w:val="22"/>
                <w:highlight w:val="none"/>
                <w:u w:val="none"/>
                <w:lang w:val="en-US" w:eastAsia="zh-CN" w:bidi="ar"/>
              </w:rPr>
              <w:t>三级指标</w:t>
            </w:r>
          </w:p>
        </w:tc>
        <w:tc>
          <w:tcPr>
            <w:tcW w:w="885" w:type="dxa"/>
            <w:tcBorders>
              <w:top w:val="single" w:color="000000" w:sz="4" w:space="0"/>
              <w:left w:val="single" w:color="000000" w:sz="4" w:space="0"/>
              <w:bottom w:val="single" w:color="auto" w:sz="4" w:space="0"/>
              <w:right w:val="single" w:color="000000" w:sz="4" w:space="0"/>
            </w:tcBorders>
            <w:shd w:val="clear" w:color="auto" w:fill="auto"/>
            <w:textDirection w:val="tbRlV"/>
            <w:vAlign w:val="center"/>
          </w:tcPr>
          <w:p w14:paraId="209DF946">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b/>
                <w:bCs/>
                <w:i w:val="0"/>
                <w:iCs w:val="0"/>
                <w:color w:val="000000"/>
                <w:sz w:val="22"/>
                <w:szCs w:val="22"/>
                <w:highlight w:val="none"/>
                <w:u w:val="none"/>
              </w:rPr>
            </w:pPr>
            <w:r>
              <w:rPr>
                <w:rFonts w:hint="eastAsia" w:ascii="仿宋_GB2312" w:hAnsi="仿宋_GB2312" w:eastAsia="仿宋_GB2312" w:cs="仿宋_GB2312"/>
                <w:b/>
                <w:bCs/>
                <w:i w:val="0"/>
                <w:iCs w:val="0"/>
                <w:color w:val="000000"/>
                <w:kern w:val="0"/>
                <w:sz w:val="22"/>
                <w:szCs w:val="22"/>
                <w:highlight w:val="none"/>
                <w:u w:val="none"/>
                <w:lang w:val="en-US" w:eastAsia="zh-CN" w:bidi="ar"/>
              </w:rPr>
              <w:t>分值</w:t>
            </w:r>
          </w:p>
        </w:tc>
        <w:tc>
          <w:tcPr>
            <w:tcW w:w="1429" w:type="dxa"/>
            <w:tcBorders>
              <w:top w:val="single" w:color="000000" w:sz="4" w:space="0"/>
              <w:left w:val="single" w:color="000000" w:sz="4" w:space="0"/>
              <w:bottom w:val="single" w:color="auto" w:sz="4" w:space="0"/>
              <w:right w:val="single" w:color="000000" w:sz="4" w:space="0"/>
            </w:tcBorders>
            <w:shd w:val="clear" w:color="auto" w:fill="auto"/>
            <w:vAlign w:val="center"/>
          </w:tcPr>
          <w:p w14:paraId="6ED90103">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b/>
                <w:bCs/>
                <w:i w:val="0"/>
                <w:iCs w:val="0"/>
                <w:color w:val="000000"/>
                <w:sz w:val="22"/>
                <w:szCs w:val="22"/>
                <w:highlight w:val="none"/>
                <w:u w:val="none"/>
              </w:rPr>
            </w:pPr>
            <w:r>
              <w:rPr>
                <w:rFonts w:hint="eastAsia" w:ascii="仿宋_GB2312" w:hAnsi="仿宋_GB2312" w:eastAsia="仿宋_GB2312" w:cs="仿宋_GB2312"/>
                <w:b/>
                <w:bCs/>
                <w:i w:val="0"/>
                <w:iCs w:val="0"/>
                <w:color w:val="000000"/>
                <w:kern w:val="0"/>
                <w:sz w:val="22"/>
                <w:szCs w:val="22"/>
                <w:highlight w:val="none"/>
                <w:u w:val="none"/>
                <w:lang w:val="en-US" w:eastAsia="zh-CN" w:bidi="ar"/>
              </w:rPr>
              <w:t>指标解释</w:t>
            </w:r>
          </w:p>
        </w:tc>
        <w:tc>
          <w:tcPr>
            <w:tcW w:w="1183" w:type="dxa"/>
            <w:tcBorders>
              <w:top w:val="single" w:color="000000" w:sz="4" w:space="0"/>
              <w:left w:val="single" w:color="000000" w:sz="4" w:space="0"/>
              <w:bottom w:val="single" w:color="auto" w:sz="4" w:space="0"/>
              <w:right w:val="single" w:color="000000" w:sz="4" w:space="0"/>
            </w:tcBorders>
            <w:shd w:val="clear" w:color="auto" w:fill="auto"/>
            <w:vAlign w:val="center"/>
          </w:tcPr>
          <w:p w14:paraId="696C8A71">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b/>
                <w:bCs/>
                <w:i w:val="0"/>
                <w:iCs w:val="0"/>
                <w:color w:val="000000"/>
                <w:sz w:val="22"/>
                <w:szCs w:val="22"/>
                <w:highlight w:val="none"/>
                <w:u w:val="none"/>
              </w:rPr>
            </w:pPr>
            <w:r>
              <w:rPr>
                <w:rFonts w:hint="eastAsia" w:ascii="仿宋_GB2312" w:hAnsi="仿宋_GB2312" w:eastAsia="仿宋_GB2312" w:cs="仿宋_GB2312"/>
                <w:b/>
                <w:bCs/>
                <w:i w:val="0"/>
                <w:iCs w:val="0"/>
                <w:color w:val="000000"/>
                <w:kern w:val="0"/>
                <w:sz w:val="22"/>
                <w:szCs w:val="22"/>
                <w:highlight w:val="none"/>
                <w:u w:val="none"/>
                <w:lang w:val="en-US" w:eastAsia="zh-CN" w:bidi="ar"/>
              </w:rPr>
              <w:t>目标值</w:t>
            </w:r>
          </w:p>
        </w:tc>
        <w:tc>
          <w:tcPr>
            <w:tcW w:w="1732" w:type="dxa"/>
            <w:tcBorders>
              <w:top w:val="single" w:color="000000" w:sz="4" w:space="0"/>
              <w:left w:val="single" w:color="000000" w:sz="4" w:space="0"/>
              <w:bottom w:val="single" w:color="auto" w:sz="4" w:space="0"/>
              <w:right w:val="single" w:color="000000" w:sz="4" w:space="0"/>
            </w:tcBorders>
            <w:shd w:val="clear" w:color="auto" w:fill="auto"/>
            <w:vAlign w:val="center"/>
          </w:tcPr>
          <w:p w14:paraId="69FD40C9">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b/>
                <w:bCs/>
                <w:i w:val="0"/>
                <w:iCs w:val="0"/>
                <w:color w:val="000000"/>
                <w:sz w:val="22"/>
                <w:szCs w:val="22"/>
                <w:highlight w:val="none"/>
                <w:u w:val="none"/>
              </w:rPr>
            </w:pPr>
            <w:r>
              <w:rPr>
                <w:rFonts w:hint="eastAsia" w:ascii="仿宋_GB2312" w:hAnsi="仿宋_GB2312" w:eastAsia="仿宋_GB2312" w:cs="仿宋_GB2312"/>
                <w:b/>
                <w:bCs/>
                <w:i w:val="0"/>
                <w:iCs w:val="0"/>
                <w:color w:val="000000"/>
                <w:kern w:val="0"/>
                <w:sz w:val="22"/>
                <w:szCs w:val="22"/>
                <w:highlight w:val="none"/>
                <w:u w:val="none"/>
                <w:lang w:val="en-US" w:eastAsia="zh-CN" w:bidi="ar"/>
              </w:rPr>
              <w:t>评分规则</w:t>
            </w:r>
          </w:p>
        </w:tc>
        <w:tc>
          <w:tcPr>
            <w:tcW w:w="1149" w:type="dxa"/>
            <w:tcBorders>
              <w:top w:val="single" w:color="000000" w:sz="4" w:space="0"/>
              <w:left w:val="single" w:color="000000" w:sz="4" w:space="0"/>
              <w:bottom w:val="single" w:color="auto" w:sz="4" w:space="0"/>
              <w:right w:val="single" w:color="000000" w:sz="4" w:space="0"/>
            </w:tcBorders>
            <w:shd w:val="clear" w:color="auto" w:fill="auto"/>
            <w:vAlign w:val="center"/>
          </w:tcPr>
          <w:p w14:paraId="608D2498">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b/>
                <w:bCs/>
                <w:i w:val="0"/>
                <w:iCs w:val="0"/>
                <w:color w:val="000000"/>
                <w:sz w:val="22"/>
                <w:szCs w:val="22"/>
                <w:highlight w:val="none"/>
                <w:u w:val="none"/>
              </w:rPr>
            </w:pPr>
            <w:r>
              <w:rPr>
                <w:rFonts w:hint="eastAsia" w:ascii="仿宋_GB2312" w:hAnsi="仿宋_GB2312" w:eastAsia="仿宋_GB2312" w:cs="仿宋_GB2312"/>
                <w:b/>
                <w:bCs/>
                <w:i w:val="0"/>
                <w:iCs w:val="0"/>
                <w:color w:val="000000"/>
                <w:kern w:val="0"/>
                <w:sz w:val="22"/>
                <w:szCs w:val="22"/>
                <w:highlight w:val="none"/>
                <w:u w:val="none"/>
                <w:lang w:val="en-US" w:eastAsia="zh-CN" w:bidi="ar"/>
              </w:rPr>
              <w:t>数据来源</w:t>
            </w:r>
          </w:p>
        </w:tc>
        <w:tc>
          <w:tcPr>
            <w:tcW w:w="2085" w:type="dxa"/>
            <w:tcBorders>
              <w:top w:val="single" w:color="000000" w:sz="4" w:space="0"/>
              <w:left w:val="single" w:color="000000" w:sz="4" w:space="0"/>
              <w:bottom w:val="single" w:color="auto" w:sz="4" w:space="0"/>
              <w:right w:val="single" w:color="000000" w:sz="4" w:space="0"/>
            </w:tcBorders>
            <w:shd w:val="clear" w:color="auto" w:fill="auto"/>
            <w:vAlign w:val="center"/>
          </w:tcPr>
          <w:p w14:paraId="02888393">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b/>
                <w:bCs/>
                <w:i w:val="0"/>
                <w:iCs w:val="0"/>
                <w:color w:val="000000"/>
                <w:sz w:val="22"/>
                <w:szCs w:val="22"/>
                <w:highlight w:val="none"/>
                <w:u w:val="none"/>
              </w:rPr>
            </w:pPr>
            <w:r>
              <w:rPr>
                <w:rFonts w:hint="eastAsia" w:ascii="仿宋_GB2312" w:hAnsi="仿宋_GB2312" w:eastAsia="仿宋_GB2312" w:cs="仿宋_GB2312"/>
                <w:b/>
                <w:bCs/>
                <w:i w:val="0"/>
                <w:iCs w:val="0"/>
                <w:color w:val="000000"/>
                <w:kern w:val="0"/>
                <w:sz w:val="22"/>
                <w:szCs w:val="22"/>
                <w:highlight w:val="none"/>
                <w:u w:val="none"/>
                <w:lang w:val="en-US" w:eastAsia="zh-CN" w:bidi="ar"/>
              </w:rPr>
              <w:t>评分过程</w:t>
            </w:r>
          </w:p>
        </w:tc>
        <w:tc>
          <w:tcPr>
            <w:tcW w:w="1136" w:type="dxa"/>
            <w:tcBorders>
              <w:top w:val="single" w:color="000000" w:sz="4" w:space="0"/>
              <w:left w:val="single" w:color="000000" w:sz="4" w:space="0"/>
              <w:bottom w:val="single" w:color="auto" w:sz="4" w:space="0"/>
              <w:right w:val="single" w:color="000000" w:sz="4" w:space="0"/>
            </w:tcBorders>
            <w:shd w:val="clear" w:color="auto" w:fill="auto"/>
            <w:vAlign w:val="center"/>
          </w:tcPr>
          <w:p w14:paraId="519BE70D">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b/>
                <w:bCs/>
                <w:i w:val="0"/>
                <w:iCs w:val="0"/>
                <w:color w:val="000000"/>
                <w:sz w:val="22"/>
                <w:szCs w:val="22"/>
                <w:highlight w:val="none"/>
                <w:u w:val="none"/>
              </w:rPr>
            </w:pPr>
            <w:r>
              <w:rPr>
                <w:rFonts w:hint="eastAsia" w:ascii="仿宋_GB2312" w:hAnsi="仿宋_GB2312" w:eastAsia="仿宋_GB2312" w:cs="仿宋_GB2312"/>
                <w:b/>
                <w:bCs/>
                <w:i w:val="0"/>
                <w:iCs w:val="0"/>
                <w:color w:val="000000"/>
                <w:kern w:val="0"/>
                <w:sz w:val="22"/>
                <w:szCs w:val="22"/>
                <w:highlight w:val="none"/>
                <w:u w:val="none"/>
                <w:lang w:val="en-US" w:eastAsia="zh-CN" w:bidi="ar"/>
              </w:rPr>
              <w:t>扣分</w:t>
            </w:r>
          </w:p>
        </w:tc>
        <w:tc>
          <w:tcPr>
            <w:tcW w:w="1136" w:type="dxa"/>
            <w:tcBorders>
              <w:top w:val="single" w:color="000000" w:sz="4" w:space="0"/>
              <w:left w:val="single" w:color="000000" w:sz="4" w:space="0"/>
              <w:bottom w:val="single" w:color="auto" w:sz="4" w:space="0"/>
              <w:right w:val="single" w:color="000000" w:sz="4" w:space="0"/>
            </w:tcBorders>
            <w:shd w:val="clear" w:color="auto" w:fill="auto"/>
            <w:vAlign w:val="center"/>
          </w:tcPr>
          <w:p w14:paraId="692BBD03">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b/>
                <w:bCs/>
                <w:i w:val="0"/>
                <w:iCs w:val="0"/>
                <w:color w:val="000000"/>
                <w:sz w:val="22"/>
                <w:szCs w:val="22"/>
                <w:highlight w:val="none"/>
                <w:u w:val="none"/>
              </w:rPr>
            </w:pPr>
            <w:r>
              <w:rPr>
                <w:rFonts w:hint="eastAsia" w:ascii="仿宋_GB2312" w:hAnsi="仿宋_GB2312" w:eastAsia="仿宋_GB2312" w:cs="仿宋_GB2312"/>
                <w:b/>
                <w:bCs/>
                <w:i w:val="0"/>
                <w:iCs w:val="0"/>
                <w:color w:val="000000"/>
                <w:kern w:val="0"/>
                <w:sz w:val="22"/>
                <w:szCs w:val="22"/>
                <w:highlight w:val="none"/>
                <w:u w:val="none"/>
                <w:lang w:val="en-US" w:eastAsia="zh-CN" w:bidi="ar"/>
              </w:rPr>
              <w:t>得分</w:t>
            </w:r>
          </w:p>
        </w:tc>
        <w:tc>
          <w:tcPr>
            <w:tcW w:w="1466" w:type="dxa"/>
            <w:tcBorders>
              <w:top w:val="single" w:color="000000" w:sz="4" w:space="0"/>
              <w:left w:val="single" w:color="000000" w:sz="4" w:space="0"/>
              <w:bottom w:val="single" w:color="auto" w:sz="4" w:space="0"/>
              <w:right w:val="single" w:color="000000" w:sz="4" w:space="0"/>
            </w:tcBorders>
            <w:shd w:val="clear" w:color="auto" w:fill="auto"/>
            <w:vAlign w:val="center"/>
          </w:tcPr>
          <w:p w14:paraId="5A1E4575">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b/>
                <w:bCs/>
                <w:i w:val="0"/>
                <w:iCs w:val="0"/>
                <w:color w:val="000000"/>
                <w:sz w:val="22"/>
                <w:szCs w:val="22"/>
                <w:highlight w:val="none"/>
                <w:u w:val="none"/>
              </w:rPr>
            </w:pPr>
            <w:r>
              <w:rPr>
                <w:rFonts w:hint="eastAsia" w:ascii="仿宋_GB2312" w:hAnsi="仿宋_GB2312" w:eastAsia="仿宋_GB2312" w:cs="仿宋_GB2312"/>
                <w:b/>
                <w:bCs/>
                <w:i w:val="0"/>
                <w:iCs w:val="0"/>
                <w:color w:val="000000"/>
                <w:kern w:val="0"/>
                <w:sz w:val="22"/>
                <w:szCs w:val="22"/>
                <w:highlight w:val="none"/>
                <w:u w:val="none"/>
                <w:lang w:val="en-US" w:eastAsia="zh-CN" w:bidi="ar"/>
              </w:rPr>
              <w:t>得分率</w:t>
            </w:r>
          </w:p>
        </w:tc>
      </w:tr>
      <w:tr w14:paraId="06CD7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0" w:hRule="atLeast"/>
        </w:trPr>
        <w:tc>
          <w:tcPr>
            <w:tcW w:w="747" w:type="dxa"/>
            <w:tcBorders>
              <w:top w:val="single" w:color="auto" w:sz="4" w:space="0"/>
              <w:left w:val="single" w:color="auto" w:sz="4" w:space="0"/>
              <w:bottom w:val="single" w:color="auto" w:sz="4" w:space="0"/>
              <w:right w:val="single" w:color="000000" w:sz="4" w:space="0"/>
            </w:tcBorders>
            <w:shd w:val="clear" w:color="auto" w:fill="auto"/>
            <w:vAlign w:val="center"/>
          </w:tcPr>
          <w:p w14:paraId="7A4C6D9C">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w:t>
            </w:r>
          </w:p>
        </w:tc>
        <w:tc>
          <w:tcPr>
            <w:tcW w:w="126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68689B3D">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项目决策（20分）</w:t>
            </w:r>
          </w:p>
        </w:tc>
        <w:tc>
          <w:tcPr>
            <w:tcW w:w="631" w:type="dxa"/>
            <w:vMerge w:val="restart"/>
            <w:tcBorders>
              <w:top w:val="single" w:color="auto" w:sz="4" w:space="0"/>
              <w:left w:val="single" w:color="000000" w:sz="4" w:space="0"/>
              <w:bottom w:val="single" w:color="auto" w:sz="4" w:space="0"/>
              <w:right w:val="single" w:color="000000" w:sz="4" w:space="0"/>
            </w:tcBorders>
            <w:shd w:val="clear" w:color="auto" w:fill="auto"/>
            <w:textDirection w:val="tbRlV"/>
            <w:vAlign w:val="center"/>
          </w:tcPr>
          <w:p w14:paraId="70EB7A71">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项目立项</w:t>
            </w:r>
          </w:p>
        </w:tc>
        <w:tc>
          <w:tcPr>
            <w:tcW w:w="1109" w:type="dxa"/>
            <w:tcBorders>
              <w:top w:val="single" w:color="auto" w:sz="4" w:space="0"/>
              <w:left w:val="single" w:color="000000" w:sz="4" w:space="0"/>
              <w:bottom w:val="single" w:color="auto" w:sz="4" w:space="0"/>
              <w:right w:val="single" w:color="000000" w:sz="4" w:space="0"/>
            </w:tcBorders>
            <w:shd w:val="clear" w:color="auto" w:fill="auto"/>
            <w:vAlign w:val="center"/>
          </w:tcPr>
          <w:p w14:paraId="2DBAE877">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立项依据充分性</w:t>
            </w:r>
          </w:p>
        </w:tc>
        <w:tc>
          <w:tcPr>
            <w:tcW w:w="885" w:type="dxa"/>
            <w:tcBorders>
              <w:top w:val="single" w:color="auto" w:sz="4" w:space="0"/>
              <w:left w:val="single" w:color="000000" w:sz="4" w:space="0"/>
              <w:bottom w:val="single" w:color="auto" w:sz="4" w:space="0"/>
              <w:right w:val="single" w:color="000000" w:sz="4" w:space="0"/>
            </w:tcBorders>
            <w:shd w:val="clear" w:color="auto" w:fill="auto"/>
            <w:vAlign w:val="center"/>
          </w:tcPr>
          <w:p w14:paraId="39FF078A">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4</w:t>
            </w:r>
          </w:p>
        </w:tc>
        <w:tc>
          <w:tcPr>
            <w:tcW w:w="1429" w:type="dxa"/>
            <w:tcBorders>
              <w:top w:val="single" w:color="auto" w:sz="4" w:space="0"/>
              <w:left w:val="single" w:color="000000" w:sz="4" w:space="0"/>
              <w:bottom w:val="single" w:color="auto" w:sz="4" w:space="0"/>
              <w:right w:val="single" w:color="000000" w:sz="4" w:space="0"/>
            </w:tcBorders>
            <w:shd w:val="clear" w:color="auto" w:fill="auto"/>
            <w:vAlign w:val="center"/>
          </w:tcPr>
          <w:p w14:paraId="312D8324">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项目立项是否符合法律法规、相关政策、发展规划以及部门职责，用以反映和考核项目立项依据情况。</w:t>
            </w:r>
          </w:p>
        </w:tc>
        <w:tc>
          <w:tcPr>
            <w:tcW w:w="1183" w:type="dxa"/>
            <w:tcBorders>
              <w:top w:val="single" w:color="auto" w:sz="4" w:space="0"/>
              <w:left w:val="single" w:color="000000" w:sz="4" w:space="0"/>
              <w:bottom w:val="single" w:color="auto" w:sz="4" w:space="0"/>
              <w:right w:val="single" w:color="000000" w:sz="4" w:space="0"/>
            </w:tcBorders>
            <w:shd w:val="clear" w:color="auto" w:fill="auto"/>
            <w:vAlign w:val="center"/>
          </w:tcPr>
          <w:p w14:paraId="71CB7308">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规范</w:t>
            </w:r>
          </w:p>
        </w:tc>
        <w:tc>
          <w:tcPr>
            <w:tcW w:w="1732" w:type="dxa"/>
            <w:tcBorders>
              <w:top w:val="single" w:color="auto" w:sz="4" w:space="0"/>
              <w:left w:val="single" w:color="000000" w:sz="4" w:space="0"/>
              <w:bottom w:val="single" w:color="auto" w:sz="4" w:space="0"/>
              <w:right w:val="single" w:color="000000" w:sz="4" w:space="0"/>
            </w:tcBorders>
            <w:shd w:val="clear" w:color="auto" w:fill="auto"/>
            <w:vAlign w:val="center"/>
          </w:tcPr>
          <w:p w14:paraId="1F97C7E4">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评价要点：①项目立项是否符合国家法律法规、国民经济发展规划和相关政策；②项目立项是否符合行业发展规划和政策要求；③项目立项是否与部门职责范围相符，属于部门履职所需；④项目是否属于公共财政支持范围，是否符合中央、地方事权支出责任划分原则；⑤项目是否与相关部门同类项目或部门内部相关项目重复。</w:t>
            </w:r>
          </w:p>
        </w:tc>
        <w:tc>
          <w:tcPr>
            <w:tcW w:w="1149" w:type="dxa"/>
            <w:tcBorders>
              <w:top w:val="single" w:color="auto" w:sz="4" w:space="0"/>
              <w:left w:val="single" w:color="000000" w:sz="4" w:space="0"/>
              <w:bottom w:val="single" w:color="auto" w:sz="4" w:space="0"/>
              <w:right w:val="single" w:color="000000" w:sz="4" w:space="0"/>
            </w:tcBorders>
            <w:shd w:val="clear" w:color="auto" w:fill="auto"/>
            <w:vAlign w:val="center"/>
          </w:tcPr>
          <w:p w14:paraId="46434DBC">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相关政策文件</w:t>
            </w:r>
          </w:p>
        </w:tc>
        <w:tc>
          <w:tcPr>
            <w:tcW w:w="2085" w:type="dxa"/>
            <w:tcBorders>
              <w:top w:val="single" w:color="auto" w:sz="4" w:space="0"/>
              <w:left w:val="single" w:color="000000" w:sz="4" w:space="0"/>
              <w:bottom w:val="single" w:color="auto" w:sz="4" w:space="0"/>
              <w:right w:val="single" w:color="000000" w:sz="4" w:space="0"/>
            </w:tcBorders>
            <w:shd w:val="clear" w:color="auto" w:fill="auto"/>
            <w:vAlign w:val="center"/>
          </w:tcPr>
          <w:p w14:paraId="7777DFA7">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①项目立项符合等规划及政策要求；②项目立项与克拉玛依区住房和城乡建设局职责范围相符，属于克拉玛依区住房和城乡建设局履职所需；③项目由克拉玛依区住房和城乡建设局承担财政事权的支出责任，财政局按照预算情况进行划拨。项目属于公共财政支持范围，符合事权支出责任划分原则；④项目与相关部门同类项目或部门内部相关项目之间不存在重复。综上所述，该指标满分4分，得分4分。</w:t>
            </w:r>
          </w:p>
        </w:tc>
        <w:tc>
          <w:tcPr>
            <w:tcW w:w="1136" w:type="dxa"/>
            <w:tcBorders>
              <w:top w:val="single" w:color="auto" w:sz="4" w:space="0"/>
              <w:left w:val="single" w:color="000000" w:sz="4" w:space="0"/>
              <w:bottom w:val="single" w:color="auto" w:sz="4" w:space="0"/>
              <w:right w:val="single" w:color="000000" w:sz="4" w:space="0"/>
            </w:tcBorders>
            <w:shd w:val="clear" w:color="auto" w:fill="auto"/>
            <w:vAlign w:val="center"/>
          </w:tcPr>
          <w:p w14:paraId="15807E86">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0</w:t>
            </w:r>
          </w:p>
        </w:tc>
        <w:tc>
          <w:tcPr>
            <w:tcW w:w="1136" w:type="dxa"/>
            <w:tcBorders>
              <w:top w:val="single" w:color="auto" w:sz="4" w:space="0"/>
              <w:left w:val="single" w:color="000000" w:sz="4" w:space="0"/>
              <w:bottom w:val="single" w:color="auto" w:sz="4" w:space="0"/>
              <w:right w:val="single" w:color="000000" w:sz="4" w:space="0"/>
            </w:tcBorders>
            <w:shd w:val="clear" w:color="auto" w:fill="auto"/>
            <w:vAlign w:val="center"/>
          </w:tcPr>
          <w:p w14:paraId="6C50849B">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4</w:t>
            </w:r>
          </w:p>
        </w:tc>
        <w:tc>
          <w:tcPr>
            <w:tcW w:w="1466" w:type="dxa"/>
            <w:tcBorders>
              <w:top w:val="single" w:color="auto" w:sz="4" w:space="0"/>
              <w:left w:val="single" w:color="000000" w:sz="4" w:space="0"/>
              <w:bottom w:val="single" w:color="auto" w:sz="4" w:space="0"/>
              <w:right w:val="single" w:color="auto" w:sz="4" w:space="0"/>
            </w:tcBorders>
            <w:shd w:val="clear" w:color="auto" w:fill="auto"/>
            <w:vAlign w:val="center"/>
          </w:tcPr>
          <w:p w14:paraId="11DDA07F">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100.00%</w:t>
            </w:r>
          </w:p>
        </w:tc>
      </w:tr>
      <w:tr w14:paraId="620DC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0" w:hRule="atLeast"/>
        </w:trPr>
        <w:tc>
          <w:tcPr>
            <w:tcW w:w="747" w:type="dxa"/>
            <w:tcBorders>
              <w:top w:val="single" w:color="auto" w:sz="4" w:space="0"/>
              <w:left w:val="single" w:color="auto" w:sz="4" w:space="0"/>
              <w:bottom w:val="single" w:color="auto" w:sz="4" w:space="0"/>
              <w:right w:val="single" w:color="000000" w:sz="4" w:space="0"/>
            </w:tcBorders>
            <w:shd w:val="clear" w:color="auto" w:fill="auto"/>
            <w:vAlign w:val="center"/>
          </w:tcPr>
          <w:p w14:paraId="76AE3FC6">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2</w:t>
            </w:r>
          </w:p>
        </w:tc>
        <w:tc>
          <w:tcPr>
            <w:tcW w:w="126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8A3775D">
            <w:pPr>
              <w:jc w:val="center"/>
              <w:rPr>
                <w:rFonts w:hint="eastAsia" w:ascii="仿宋_GB2312" w:hAnsi="仿宋_GB2312" w:eastAsia="仿宋_GB2312" w:cs="仿宋_GB2312"/>
                <w:i w:val="0"/>
                <w:iCs w:val="0"/>
                <w:color w:val="000000"/>
                <w:sz w:val="22"/>
                <w:szCs w:val="22"/>
                <w:highlight w:val="none"/>
                <w:u w:val="none"/>
              </w:rPr>
            </w:pPr>
          </w:p>
        </w:tc>
        <w:tc>
          <w:tcPr>
            <w:tcW w:w="631" w:type="dxa"/>
            <w:vMerge w:val="continue"/>
            <w:tcBorders>
              <w:top w:val="single" w:color="auto" w:sz="4" w:space="0"/>
              <w:left w:val="single" w:color="000000" w:sz="4" w:space="0"/>
              <w:bottom w:val="single" w:color="auto" w:sz="4" w:space="0"/>
              <w:right w:val="single" w:color="000000" w:sz="4" w:space="0"/>
            </w:tcBorders>
            <w:shd w:val="clear" w:color="auto" w:fill="auto"/>
            <w:textDirection w:val="tbRlV"/>
            <w:vAlign w:val="center"/>
          </w:tcPr>
          <w:p w14:paraId="2314D745">
            <w:pPr>
              <w:jc w:val="center"/>
              <w:rPr>
                <w:rFonts w:hint="eastAsia" w:ascii="仿宋_GB2312" w:hAnsi="仿宋_GB2312" w:eastAsia="仿宋_GB2312" w:cs="仿宋_GB2312"/>
                <w:i w:val="0"/>
                <w:iCs w:val="0"/>
                <w:color w:val="000000"/>
                <w:sz w:val="22"/>
                <w:szCs w:val="22"/>
                <w:highlight w:val="none"/>
                <w:u w:val="none"/>
              </w:rPr>
            </w:pPr>
          </w:p>
        </w:tc>
        <w:tc>
          <w:tcPr>
            <w:tcW w:w="1109" w:type="dxa"/>
            <w:tcBorders>
              <w:top w:val="single" w:color="auto" w:sz="4" w:space="0"/>
              <w:left w:val="single" w:color="000000" w:sz="4" w:space="0"/>
              <w:bottom w:val="single" w:color="auto" w:sz="4" w:space="0"/>
              <w:right w:val="single" w:color="000000" w:sz="4" w:space="0"/>
            </w:tcBorders>
            <w:shd w:val="clear" w:color="auto" w:fill="auto"/>
            <w:vAlign w:val="center"/>
          </w:tcPr>
          <w:p w14:paraId="390909D8">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立项程序规范性</w:t>
            </w:r>
          </w:p>
        </w:tc>
        <w:tc>
          <w:tcPr>
            <w:tcW w:w="885" w:type="dxa"/>
            <w:tcBorders>
              <w:top w:val="single" w:color="auto" w:sz="4" w:space="0"/>
              <w:left w:val="single" w:color="000000" w:sz="4" w:space="0"/>
              <w:bottom w:val="single" w:color="auto" w:sz="4" w:space="0"/>
              <w:right w:val="single" w:color="000000" w:sz="4" w:space="0"/>
            </w:tcBorders>
            <w:shd w:val="clear" w:color="auto" w:fill="auto"/>
            <w:vAlign w:val="center"/>
          </w:tcPr>
          <w:p w14:paraId="657851B5">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3</w:t>
            </w:r>
          </w:p>
        </w:tc>
        <w:tc>
          <w:tcPr>
            <w:tcW w:w="1429" w:type="dxa"/>
            <w:tcBorders>
              <w:top w:val="single" w:color="auto" w:sz="4" w:space="0"/>
              <w:left w:val="single" w:color="000000" w:sz="4" w:space="0"/>
              <w:bottom w:val="single" w:color="auto" w:sz="4" w:space="0"/>
              <w:right w:val="single" w:color="000000" w:sz="4" w:space="0"/>
            </w:tcBorders>
            <w:shd w:val="clear" w:color="auto" w:fill="auto"/>
            <w:vAlign w:val="center"/>
          </w:tcPr>
          <w:p w14:paraId="099D1288">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项目申请、设立过程是否符合相关要求，用以反映和考核项目立项的规范情况。</w:t>
            </w:r>
          </w:p>
        </w:tc>
        <w:tc>
          <w:tcPr>
            <w:tcW w:w="1183" w:type="dxa"/>
            <w:tcBorders>
              <w:top w:val="single" w:color="auto" w:sz="4" w:space="0"/>
              <w:left w:val="single" w:color="000000" w:sz="4" w:space="0"/>
              <w:bottom w:val="single" w:color="auto" w:sz="4" w:space="0"/>
              <w:right w:val="single" w:color="000000" w:sz="4" w:space="0"/>
            </w:tcBorders>
            <w:shd w:val="clear" w:color="auto" w:fill="auto"/>
            <w:vAlign w:val="center"/>
          </w:tcPr>
          <w:p w14:paraId="6BC8678D">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合规</w:t>
            </w:r>
          </w:p>
        </w:tc>
        <w:tc>
          <w:tcPr>
            <w:tcW w:w="1732" w:type="dxa"/>
            <w:tcBorders>
              <w:top w:val="single" w:color="auto" w:sz="4" w:space="0"/>
              <w:left w:val="single" w:color="000000" w:sz="4" w:space="0"/>
              <w:bottom w:val="single" w:color="auto" w:sz="4" w:space="0"/>
              <w:right w:val="single" w:color="000000" w:sz="4" w:space="0"/>
            </w:tcBorders>
            <w:shd w:val="clear" w:color="auto" w:fill="auto"/>
            <w:vAlign w:val="center"/>
          </w:tcPr>
          <w:p w14:paraId="3A27658F">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评价要点：①项目是否按照规定的程序申请设立；②审批文件、材料是否符合相关要求；③事前是否已经过必要的可行性研究、专家论证、风险评估、绩效评估、集体决策。</w:t>
            </w:r>
          </w:p>
        </w:tc>
        <w:tc>
          <w:tcPr>
            <w:tcW w:w="1149" w:type="dxa"/>
            <w:tcBorders>
              <w:top w:val="single" w:color="auto" w:sz="4" w:space="0"/>
              <w:left w:val="single" w:color="000000" w:sz="4" w:space="0"/>
              <w:bottom w:val="single" w:color="auto" w:sz="4" w:space="0"/>
              <w:right w:val="single" w:color="000000" w:sz="4" w:space="0"/>
            </w:tcBorders>
            <w:shd w:val="clear" w:color="auto" w:fill="auto"/>
            <w:vAlign w:val="center"/>
          </w:tcPr>
          <w:p w14:paraId="45FEF42C">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项目申报书</w:t>
            </w:r>
          </w:p>
        </w:tc>
        <w:tc>
          <w:tcPr>
            <w:tcW w:w="2085" w:type="dxa"/>
            <w:tcBorders>
              <w:top w:val="single" w:color="auto" w:sz="4" w:space="0"/>
              <w:left w:val="single" w:color="000000" w:sz="4" w:space="0"/>
              <w:bottom w:val="single" w:color="auto" w:sz="4" w:space="0"/>
              <w:right w:val="single" w:color="000000" w:sz="4" w:space="0"/>
            </w:tcBorders>
            <w:shd w:val="clear" w:color="auto" w:fill="auto"/>
            <w:vAlign w:val="center"/>
          </w:tcPr>
          <w:p w14:paraId="7B97BA82">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①项目按照规定的程序申请设立；②项目立项审批文件由发改部门批复，符合相关要求；③事前已经过必要的专家论证、风险评估、绩效评估、集体决策。综上所述，该指标满分 3 分，得分 3 分。</w:t>
            </w:r>
          </w:p>
        </w:tc>
        <w:tc>
          <w:tcPr>
            <w:tcW w:w="1136" w:type="dxa"/>
            <w:tcBorders>
              <w:top w:val="single" w:color="auto" w:sz="4" w:space="0"/>
              <w:left w:val="single" w:color="000000" w:sz="4" w:space="0"/>
              <w:bottom w:val="single" w:color="auto" w:sz="4" w:space="0"/>
              <w:right w:val="single" w:color="000000" w:sz="4" w:space="0"/>
            </w:tcBorders>
            <w:shd w:val="clear" w:color="auto" w:fill="auto"/>
            <w:vAlign w:val="center"/>
          </w:tcPr>
          <w:p w14:paraId="20976A04">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0</w:t>
            </w:r>
          </w:p>
        </w:tc>
        <w:tc>
          <w:tcPr>
            <w:tcW w:w="1136" w:type="dxa"/>
            <w:tcBorders>
              <w:top w:val="single" w:color="auto" w:sz="4" w:space="0"/>
              <w:left w:val="single" w:color="000000" w:sz="4" w:space="0"/>
              <w:bottom w:val="single" w:color="auto" w:sz="4" w:space="0"/>
              <w:right w:val="single" w:color="000000" w:sz="4" w:space="0"/>
            </w:tcBorders>
            <w:shd w:val="clear" w:color="auto" w:fill="auto"/>
            <w:vAlign w:val="center"/>
          </w:tcPr>
          <w:p w14:paraId="74EC0140">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3</w:t>
            </w:r>
          </w:p>
        </w:tc>
        <w:tc>
          <w:tcPr>
            <w:tcW w:w="1466" w:type="dxa"/>
            <w:tcBorders>
              <w:top w:val="single" w:color="auto" w:sz="4" w:space="0"/>
              <w:left w:val="single" w:color="000000" w:sz="4" w:space="0"/>
              <w:bottom w:val="single" w:color="auto" w:sz="4" w:space="0"/>
              <w:right w:val="single" w:color="auto" w:sz="4" w:space="0"/>
            </w:tcBorders>
            <w:shd w:val="clear" w:color="auto" w:fill="auto"/>
            <w:vAlign w:val="center"/>
          </w:tcPr>
          <w:p w14:paraId="3696B71D">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100.00%</w:t>
            </w:r>
          </w:p>
        </w:tc>
      </w:tr>
      <w:tr w14:paraId="5D5A7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trPr>
        <w:tc>
          <w:tcPr>
            <w:tcW w:w="747" w:type="dxa"/>
            <w:tcBorders>
              <w:top w:val="single" w:color="auto" w:sz="4" w:space="0"/>
              <w:left w:val="single" w:color="auto" w:sz="4" w:space="0"/>
              <w:bottom w:val="single" w:color="auto" w:sz="4" w:space="0"/>
              <w:right w:val="single" w:color="000000" w:sz="4" w:space="0"/>
            </w:tcBorders>
            <w:shd w:val="clear" w:color="auto" w:fill="auto"/>
            <w:vAlign w:val="center"/>
          </w:tcPr>
          <w:p w14:paraId="2D314EE4">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3</w:t>
            </w:r>
          </w:p>
        </w:tc>
        <w:tc>
          <w:tcPr>
            <w:tcW w:w="126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BBE805E">
            <w:pPr>
              <w:jc w:val="center"/>
              <w:rPr>
                <w:rFonts w:hint="eastAsia" w:ascii="仿宋_GB2312" w:hAnsi="仿宋_GB2312" w:eastAsia="仿宋_GB2312" w:cs="仿宋_GB2312"/>
                <w:i w:val="0"/>
                <w:iCs w:val="0"/>
                <w:color w:val="000000"/>
                <w:sz w:val="22"/>
                <w:szCs w:val="22"/>
                <w:highlight w:val="none"/>
                <w:u w:val="none"/>
              </w:rPr>
            </w:pPr>
          </w:p>
        </w:tc>
        <w:tc>
          <w:tcPr>
            <w:tcW w:w="631" w:type="dxa"/>
            <w:vMerge w:val="restart"/>
            <w:tcBorders>
              <w:top w:val="single" w:color="auto" w:sz="4" w:space="0"/>
              <w:left w:val="single" w:color="000000" w:sz="4" w:space="0"/>
              <w:bottom w:val="single" w:color="auto" w:sz="4" w:space="0"/>
              <w:right w:val="single" w:color="000000" w:sz="4" w:space="0"/>
            </w:tcBorders>
            <w:shd w:val="clear" w:color="auto" w:fill="auto"/>
            <w:textDirection w:val="tbRlV"/>
            <w:vAlign w:val="center"/>
          </w:tcPr>
          <w:p w14:paraId="261EB84F">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绩效目标</w:t>
            </w:r>
          </w:p>
        </w:tc>
        <w:tc>
          <w:tcPr>
            <w:tcW w:w="1109" w:type="dxa"/>
            <w:tcBorders>
              <w:top w:val="single" w:color="auto" w:sz="4" w:space="0"/>
              <w:left w:val="single" w:color="000000" w:sz="4" w:space="0"/>
              <w:bottom w:val="single" w:color="auto" w:sz="4" w:space="0"/>
              <w:right w:val="single" w:color="000000" w:sz="4" w:space="0"/>
            </w:tcBorders>
            <w:shd w:val="clear" w:color="auto" w:fill="auto"/>
            <w:vAlign w:val="center"/>
          </w:tcPr>
          <w:p w14:paraId="1CAD9CDA">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绩效目标合理性</w:t>
            </w:r>
          </w:p>
        </w:tc>
        <w:tc>
          <w:tcPr>
            <w:tcW w:w="885" w:type="dxa"/>
            <w:tcBorders>
              <w:top w:val="single" w:color="auto" w:sz="4" w:space="0"/>
              <w:left w:val="single" w:color="000000" w:sz="4" w:space="0"/>
              <w:bottom w:val="single" w:color="auto" w:sz="4" w:space="0"/>
              <w:right w:val="single" w:color="000000" w:sz="4" w:space="0"/>
            </w:tcBorders>
            <w:shd w:val="clear" w:color="auto" w:fill="auto"/>
            <w:vAlign w:val="center"/>
          </w:tcPr>
          <w:p w14:paraId="040BEDCA">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4</w:t>
            </w:r>
          </w:p>
        </w:tc>
        <w:tc>
          <w:tcPr>
            <w:tcW w:w="1429" w:type="dxa"/>
            <w:tcBorders>
              <w:top w:val="single" w:color="auto" w:sz="4" w:space="0"/>
              <w:left w:val="single" w:color="000000" w:sz="4" w:space="0"/>
              <w:bottom w:val="single" w:color="auto" w:sz="4" w:space="0"/>
              <w:right w:val="single" w:color="000000" w:sz="4" w:space="0"/>
            </w:tcBorders>
            <w:shd w:val="clear" w:color="auto" w:fill="auto"/>
            <w:vAlign w:val="center"/>
          </w:tcPr>
          <w:p w14:paraId="20A18B00">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项目所设定的绩效目标是否依据充分，是否符合客观实际，用以反映和考核项目绩效目标与项目实施的相符情况。</w:t>
            </w:r>
          </w:p>
        </w:tc>
        <w:tc>
          <w:tcPr>
            <w:tcW w:w="1183" w:type="dxa"/>
            <w:tcBorders>
              <w:top w:val="single" w:color="auto" w:sz="4" w:space="0"/>
              <w:left w:val="single" w:color="000000" w:sz="4" w:space="0"/>
              <w:bottom w:val="single" w:color="auto" w:sz="4" w:space="0"/>
              <w:right w:val="single" w:color="000000" w:sz="4" w:space="0"/>
            </w:tcBorders>
            <w:shd w:val="clear" w:color="auto" w:fill="auto"/>
            <w:vAlign w:val="center"/>
          </w:tcPr>
          <w:p w14:paraId="04F4EB95">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合理</w:t>
            </w:r>
          </w:p>
        </w:tc>
        <w:tc>
          <w:tcPr>
            <w:tcW w:w="1732" w:type="dxa"/>
            <w:tcBorders>
              <w:top w:val="single" w:color="auto" w:sz="4" w:space="0"/>
              <w:left w:val="single" w:color="000000" w:sz="4" w:space="0"/>
              <w:bottom w:val="single" w:color="auto" w:sz="4" w:space="0"/>
              <w:right w:val="single" w:color="000000" w:sz="4" w:space="0"/>
            </w:tcBorders>
            <w:shd w:val="clear" w:color="auto" w:fill="auto"/>
            <w:vAlign w:val="center"/>
          </w:tcPr>
          <w:p w14:paraId="726842BD">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评价要点：①项目是否设定绩效目标；②项目绩效目标与实际工作内容是否具备相关性；③项目预期产出效益和效果是否符合正常的业绩水平。</w:t>
            </w:r>
          </w:p>
        </w:tc>
        <w:tc>
          <w:tcPr>
            <w:tcW w:w="1149" w:type="dxa"/>
            <w:tcBorders>
              <w:top w:val="single" w:color="auto" w:sz="4" w:space="0"/>
              <w:left w:val="single" w:color="000000" w:sz="4" w:space="0"/>
              <w:bottom w:val="single" w:color="auto" w:sz="4" w:space="0"/>
              <w:right w:val="single" w:color="000000" w:sz="4" w:space="0"/>
            </w:tcBorders>
            <w:shd w:val="clear" w:color="auto" w:fill="auto"/>
            <w:vAlign w:val="center"/>
          </w:tcPr>
          <w:p w14:paraId="6BC3B3AD">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绩效目标表</w:t>
            </w:r>
          </w:p>
        </w:tc>
        <w:tc>
          <w:tcPr>
            <w:tcW w:w="2085" w:type="dxa"/>
            <w:tcBorders>
              <w:top w:val="single" w:color="auto" w:sz="4" w:space="0"/>
              <w:left w:val="single" w:color="000000" w:sz="4" w:space="0"/>
              <w:bottom w:val="single" w:color="auto" w:sz="4" w:space="0"/>
              <w:right w:val="single" w:color="000000" w:sz="4" w:space="0"/>
            </w:tcBorders>
            <w:shd w:val="clear" w:color="auto" w:fill="auto"/>
            <w:vAlign w:val="center"/>
          </w:tcPr>
          <w:p w14:paraId="70C3D1FA">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依据项目资料，①项目已经设定绩效目标；②项目绩效目标与实际工作内容具备相关性；③项目预期产出效果符合正常的业绩水平，综上所述，该指标满分 4 分，扣 1 分，得分 3 分。</w:t>
            </w:r>
          </w:p>
        </w:tc>
        <w:tc>
          <w:tcPr>
            <w:tcW w:w="1136" w:type="dxa"/>
            <w:tcBorders>
              <w:top w:val="single" w:color="auto" w:sz="4" w:space="0"/>
              <w:left w:val="single" w:color="000000" w:sz="4" w:space="0"/>
              <w:bottom w:val="single" w:color="auto" w:sz="4" w:space="0"/>
              <w:right w:val="single" w:color="000000" w:sz="4" w:space="0"/>
            </w:tcBorders>
            <w:shd w:val="clear" w:color="auto" w:fill="auto"/>
            <w:vAlign w:val="center"/>
          </w:tcPr>
          <w:p w14:paraId="3D98A54D">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cs="仿宋_GB2312"/>
                <w:i w:val="0"/>
                <w:iCs w:val="0"/>
                <w:color w:val="000000"/>
                <w:kern w:val="0"/>
                <w:sz w:val="22"/>
                <w:szCs w:val="22"/>
                <w:highlight w:val="none"/>
                <w:u w:val="none"/>
                <w:lang w:val="en-US" w:eastAsia="zh-CN" w:bidi="ar"/>
              </w:rPr>
              <w:t>0</w:t>
            </w:r>
          </w:p>
        </w:tc>
        <w:tc>
          <w:tcPr>
            <w:tcW w:w="1136" w:type="dxa"/>
            <w:tcBorders>
              <w:top w:val="single" w:color="auto" w:sz="4" w:space="0"/>
              <w:left w:val="single" w:color="000000" w:sz="4" w:space="0"/>
              <w:bottom w:val="single" w:color="auto" w:sz="4" w:space="0"/>
              <w:right w:val="single" w:color="000000" w:sz="4" w:space="0"/>
            </w:tcBorders>
            <w:shd w:val="clear" w:color="auto" w:fill="auto"/>
            <w:vAlign w:val="center"/>
          </w:tcPr>
          <w:p w14:paraId="4A619432">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cs="仿宋_GB2312"/>
                <w:i w:val="0"/>
                <w:iCs w:val="0"/>
                <w:color w:val="000000"/>
                <w:kern w:val="0"/>
                <w:sz w:val="22"/>
                <w:szCs w:val="22"/>
                <w:highlight w:val="none"/>
                <w:u w:val="none"/>
                <w:lang w:val="en-US" w:eastAsia="zh-CN" w:bidi="ar"/>
              </w:rPr>
              <w:t>4</w:t>
            </w:r>
          </w:p>
        </w:tc>
        <w:tc>
          <w:tcPr>
            <w:tcW w:w="1466" w:type="dxa"/>
            <w:tcBorders>
              <w:top w:val="single" w:color="auto" w:sz="4" w:space="0"/>
              <w:left w:val="single" w:color="000000" w:sz="4" w:space="0"/>
              <w:bottom w:val="single" w:color="auto" w:sz="4" w:space="0"/>
              <w:right w:val="single" w:color="auto" w:sz="4" w:space="0"/>
            </w:tcBorders>
            <w:shd w:val="clear" w:color="auto" w:fill="auto"/>
            <w:vAlign w:val="center"/>
          </w:tcPr>
          <w:p w14:paraId="7AE447C8">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cs="仿宋_GB2312"/>
                <w:i w:val="0"/>
                <w:iCs w:val="0"/>
                <w:color w:val="000000"/>
                <w:kern w:val="0"/>
                <w:sz w:val="22"/>
                <w:szCs w:val="22"/>
                <w:highlight w:val="none"/>
                <w:u w:val="none"/>
                <w:lang w:val="en-US" w:eastAsia="zh-CN" w:bidi="ar"/>
              </w:rPr>
              <w:t>100</w:t>
            </w:r>
            <w:r>
              <w:rPr>
                <w:rFonts w:hint="eastAsia" w:ascii="仿宋_GB2312" w:hAnsi="仿宋_GB2312" w:eastAsia="仿宋_GB2312" w:cs="仿宋_GB2312"/>
                <w:i w:val="0"/>
                <w:iCs w:val="0"/>
                <w:color w:val="000000"/>
                <w:kern w:val="0"/>
                <w:sz w:val="22"/>
                <w:szCs w:val="22"/>
                <w:highlight w:val="none"/>
                <w:u w:val="none"/>
                <w:lang w:val="en-US" w:eastAsia="zh-CN" w:bidi="ar"/>
              </w:rPr>
              <w:t>.00%</w:t>
            </w:r>
          </w:p>
        </w:tc>
      </w:tr>
      <w:tr w14:paraId="322F9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0" w:hRule="atLeast"/>
        </w:trPr>
        <w:tc>
          <w:tcPr>
            <w:tcW w:w="747" w:type="dxa"/>
            <w:tcBorders>
              <w:top w:val="single" w:color="auto" w:sz="4" w:space="0"/>
              <w:left w:val="single" w:color="auto" w:sz="4" w:space="0"/>
              <w:bottom w:val="single" w:color="auto" w:sz="4" w:space="0"/>
              <w:right w:val="single" w:color="000000" w:sz="4" w:space="0"/>
            </w:tcBorders>
            <w:shd w:val="clear" w:color="auto" w:fill="auto"/>
            <w:vAlign w:val="center"/>
          </w:tcPr>
          <w:p w14:paraId="6F59D32E">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4</w:t>
            </w:r>
          </w:p>
        </w:tc>
        <w:tc>
          <w:tcPr>
            <w:tcW w:w="126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D49AFEF">
            <w:pPr>
              <w:jc w:val="center"/>
              <w:rPr>
                <w:rFonts w:hint="eastAsia" w:ascii="仿宋_GB2312" w:hAnsi="仿宋_GB2312" w:eastAsia="仿宋_GB2312" w:cs="仿宋_GB2312"/>
                <w:i w:val="0"/>
                <w:iCs w:val="0"/>
                <w:color w:val="000000"/>
                <w:sz w:val="22"/>
                <w:szCs w:val="22"/>
                <w:highlight w:val="none"/>
                <w:u w:val="none"/>
              </w:rPr>
            </w:pPr>
          </w:p>
        </w:tc>
        <w:tc>
          <w:tcPr>
            <w:tcW w:w="631" w:type="dxa"/>
            <w:vMerge w:val="continue"/>
            <w:tcBorders>
              <w:top w:val="single" w:color="auto" w:sz="4" w:space="0"/>
              <w:left w:val="single" w:color="000000" w:sz="4" w:space="0"/>
              <w:bottom w:val="single" w:color="auto" w:sz="4" w:space="0"/>
              <w:right w:val="single" w:color="000000" w:sz="4" w:space="0"/>
            </w:tcBorders>
            <w:shd w:val="clear" w:color="auto" w:fill="auto"/>
            <w:textDirection w:val="tbRlV"/>
            <w:vAlign w:val="center"/>
          </w:tcPr>
          <w:p w14:paraId="6C63055F">
            <w:pPr>
              <w:jc w:val="center"/>
              <w:rPr>
                <w:rFonts w:hint="eastAsia" w:ascii="仿宋_GB2312" w:hAnsi="仿宋_GB2312" w:eastAsia="仿宋_GB2312" w:cs="仿宋_GB2312"/>
                <w:i w:val="0"/>
                <w:iCs w:val="0"/>
                <w:color w:val="000000"/>
                <w:sz w:val="22"/>
                <w:szCs w:val="22"/>
                <w:highlight w:val="none"/>
                <w:u w:val="none"/>
              </w:rPr>
            </w:pPr>
          </w:p>
        </w:tc>
        <w:tc>
          <w:tcPr>
            <w:tcW w:w="1109" w:type="dxa"/>
            <w:tcBorders>
              <w:top w:val="single" w:color="auto" w:sz="4" w:space="0"/>
              <w:left w:val="single" w:color="000000" w:sz="4" w:space="0"/>
              <w:bottom w:val="single" w:color="auto" w:sz="4" w:space="0"/>
              <w:right w:val="single" w:color="000000" w:sz="4" w:space="0"/>
            </w:tcBorders>
            <w:shd w:val="clear" w:color="auto" w:fill="auto"/>
            <w:vAlign w:val="center"/>
          </w:tcPr>
          <w:p w14:paraId="265ACDE6">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绩效指标明确性</w:t>
            </w:r>
          </w:p>
        </w:tc>
        <w:tc>
          <w:tcPr>
            <w:tcW w:w="885" w:type="dxa"/>
            <w:tcBorders>
              <w:top w:val="single" w:color="auto" w:sz="4" w:space="0"/>
              <w:left w:val="single" w:color="000000" w:sz="4" w:space="0"/>
              <w:bottom w:val="single" w:color="auto" w:sz="4" w:space="0"/>
              <w:right w:val="single" w:color="000000" w:sz="4" w:space="0"/>
            </w:tcBorders>
            <w:shd w:val="clear" w:color="auto" w:fill="auto"/>
            <w:vAlign w:val="center"/>
          </w:tcPr>
          <w:p w14:paraId="1355CA07">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3</w:t>
            </w:r>
          </w:p>
        </w:tc>
        <w:tc>
          <w:tcPr>
            <w:tcW w:w="1429" w:type="dxa"/>
            <w:tcBorders>
              <w:top w:val="single" w:color="auto" w:sz="4" w:space="0"/>
              <w:left w:val="single" w:color="000000" w:sz="4" w:space="0"/>
              <w:bottom w:val="single" w:color="auto" w:sz="4" w:space="0"/>
              <w:right w:val="single" w:color="000000" w:sz="4" w:space="0"/>
            </w:tcBorders>
            <w:shd w:val="clear" w:color="auto" w:fill="auto"/>
            <w:vAlign w:val="center"/>
          </w:tcPr>
          <w:p w14:paraId="0990EAD6">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依据绩效目标设定的绩效指标是否清晰、细化、可衡量等，用以反映和考核项目绩效目标的明细化情况。</w:t>
            </w:r>
          </w:p>
        </w:tc>
        <w:tc>
          <w:tcPr>
            <w:tcW w:w="1183" w:type="dxa"/>
            <w:tcBorders>
              <w:top w:val="single" w:color="auto" w:sz="4" w:space="0"/>
              <w:left w:val="single" w:color="000000" w:sz="4" w:space="0"/>
              <w:bottom w:val="single" w:color="auto" w:sz="4" w:space="0"/>
              <w:right w:val="single" w:color="000000" w:sz="4" w:space="0"/>
            </w:tcBorders>
            <w:shd w:val="clear" w:color="auto" w:fill="auto"/>
            <w:vAlign w:val="center"/>
          </w:tcPr>
          <w:p w14:paraId="075AC4D4">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明确</w:t>
            </w:r>
          </w:p>
        </w:tc>
        <w:tc>
          <w:tcPr>
            <w:tcW w:w="1732" w:type="dxa"/>
            <w:tcBorders>
              <w:top w:val="single" w:color="auto" w:sz="4" w:space="0"/>
              <w:left w:val="single" w:color="000000" w:sz="4" w:space="0"/>
              <w:bottom w:val="single" w:color="auto" w:sz="4" w:space="0"/>
              <w:right w:val="single" w:color="000000" w:sz="4" w:space="0"/>
            </w:tcBorders>
            <w:shd w:val="clear" w:color="auto" w:fill="auto"/>
            <w:vAlign w:val="center"/>
          </w:tcPr>
          <w:p w14:paraId="5D6FDF5E">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评价要点：①是否将项目绩效目标细化、分解为具体的绩效指标；②是否通过清晰、可衡量的指标值予以体现；③是否与项目年度任务数或计划数相对应。</w:t>
            </w:r>
          </w:p>
        </w:tc>
        <w:tc>
          <w:tcPr>
            <w:tcW w:w="1149" w:type="dxa"/>
            <w:tcBorders>
              <w:top w:val="single" w:color="auto" w:sz="4" w:space="0"/>
              <w:left w:val="single" w:color="000000" w:sz="4" w:space="0"/>
              <w:bottom w:val="single" w:color="auto" w:sz="4" w:space="0"/>
              <w:right w:val="single" w:color="000000" w:sz="4" w:space="0"/>
            </w:tcBorders>
            <w:shd w:val="clear" w:color="auto" w:fill="auto"/>
            <w:vAlign w:val="center"/>
          </w:tcPr>
          <w:p w14:paraId="6658E235">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绩效目标表</w:t>
            </w:r>
          </w:p>
        </w:tc>
        <w:tc>
          <w:tcPr>
            <w:tcW w:w="2085" w:type="dxa"/>
            <w:tcBorders>
              <w:top w:val="single" w:color="auto" w:sz="4" w:space="0"/>
              <w:left w:val="single" w:color="000000" w:sz="4" w:space="0"/>
              <w:bottom w:val="single" w:color="auto" w:sz="4" w:space="0"/>
              <w:right w:val="single" w:color="000000" w:sz="4" w:space="0"/>
            </w:tcBorders>
            <w:shd w:val="clear" w:color="auto" w:fill="auto"/>
            <w:vAlign w:val="center"/>
          </w:tcPr>
          <w:p w14:paraId="7B00B972">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项目已将项目绩效目标细化、分解为具体的绩效指标，但部分指标设置不合理，不适用本项目或无法反映项目实际情况。例如质量指标中“政府采购率”指标，本项目不属于政府采购，此指标不适用；时效指标中“设备采购时间”指标，并不能完全反映出项目时效性</w:t>
            </w:r>
            <w:r>
              <w:rPr>
                <w:rFonts w:hint="eastAsia" w:cs="仿宋_GB2312"/>
                <w:i w:val="0"/>
                <w:iCs w:val="0"/>
                <w:color w:val="000000"/>
                <w:kern w:val="0"/>
                <w:sz w:val="22"/>
                <w:szCs w:val="22"/>
                <w:highlight w:val="none"/>
                <w:u w:val="none"/>
                <w:lang w:val="en-US" w:eastAsia="zh-CN" w:bidi="ar"/>
              </w:rPr>
              <w:t>。</w:t>
            </w:r>
            <w:r>
              <w:rPr>
                <w:rFonts w:hint="eastAsia" w:ascii="仿宋_GB2312" w:hAnsi="仿宋_GB2312" w:eastAsia="仿宋_GB2312" w:cs="仿宋_GB2312"/>
                <w:i w:val="0"/>
                <w:iCs w:val="0"/>
                <w:color w:val="000000"/>
                <w:kern w:val="0"/>
                <w:sz w:val="22"/>
                <w:szCs w:val="22"/>
                <w:highlight w:val="none"/>
                <w:u w:val="none"/>
                <w:lang w:val="en-US" w:eastAsia="zh-CN" w:bidi="ar"/>
              </w:rPr>
              <w:t xml:space="preserve">综上所述，该指标满分 3 分，扣 </w:t>
            </w:r>
            <w:r>
              <w:rPr>
                <w:rFonts w:hint="eastAsia" w:cs="仿宋_GB2312"/>
                <w:i w:val="0"/>
                <w:iCs w:val="0"/>
                <w:color w:val="000000"/>
                <w:kern w:val="0"/>
                <w:sz w:val="22"/>
                <w:szCs w:val="22"/>
                <w:highlight w:val="none"/>
                <w:u w:val="none"/>
                <w:lang w:val="en-US" w:eastAsia="zh-CN" w:bidi="ar"/>
              </w:rPr>
              <w:t>2</w:t>
            </w:r>
            <w:r>
              <w:rPr>
                <w:rFonts w:hint="eastAsia" w:ascii="仿宋_GB2312" w:hAnsi="仿宋_GB2312" w:eastAsia="仿宋_GB2312" w:cs="仿宋_GB2312"/>
                <w:i w:val="0"/>
                <w:iCs w:val="0"/>
                <w:color w:val="000000"/>
                <w:kern w:val="0"/>
                <w:sz w:val="22"/>
                <w:szCs w:val="22"/>
                <w:highlight w:val="none"/>
                <w:u w:val="none"/>
                <w:lang w:val="en-US" w:eastAsia="zh-CN" w:bidi="ar"/>
              </w:rPr>
              <w:t xml:space="preserve"> 分，得分 </w:t>
            </w:r>
            <w:r>
              <w:rPr>
                <w:rFonts w:hint="eastAsia" w:cs="仿宋_GB2312"/>
                <w:i w:val="0"/>
                <w:iCs w:val="0"/>
                <w:color w:val="000000"/>
                <w:kern w:val="0"/>
                <w:sz w:val="22"/>
                <w:szCs w:val="22"/>
                <w:highlight w:val="none"/>
                <w:u w:val="none"/>
                <w:lang w:val="en-US" w:eastAsia="zh-CN" w:bidi="ar"/>
              </w:rPr>
              <w:t>1</w:t>
            </w:r>
            <w:r>
              <w:rPr>
                <w:rFonts w:hint="eastAsia" w:ascii="仿宋_GB2312" w:hAnsi="仿宋_GB2312" w:eastAsia="仿宋_GB2312" w:cs="仿宋_GB2312"/>
                <w:i w:val="0"/>
                <w:iCs w:val="0"/>
                <w:color w:val="000000"/>
                <w:kern w:val="0"/>
                <w:sz w:val="22"/>
                <w:szCs w:val="22"/>
                <w:highlight w:val="none"/>
                <w:u w:val="none"/>
                <w:lang w:val="en-US" w:eastAsia="zh-CN" w:bidi="ar"/>
              </w:rPr>
              <w:t xml:space="preserve"> 分。</w:t>
            </w:r>
          </w:p>
        </w:tc>
        <w:tc>
          <w:tcPr>
            <w:tcW w:w="1136" w:type="dxa"/>
            <w:tcBorders>
              <w:top w:val="single" w:color="auto" w:sz="4" w:space="0"/>
              <w:left w:val="single" w:color="000000" w:sz="4" w:space="0"/>
              <w:bottom w:val="single" w:color="auto" w:sz="4" w:space="0"/>
              <w:right w:val="single" w:color="000000" w:sz="4" w:space="0"/>
            </w:tcBorders>
            <w:shd w:val="clear" w:color="auto" w:fill="auto"/>
            <w:vAlign w:val="center"/>
          </w:tcPr>
          <w:p w14:paraId="616BB892">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cs="仿宋_GB2312"/>
                <w:i w:val="0"/>
                <w:iCs w:val="0"/>
                <w:color w:val="000000"/>
                <w:kern w:val="0"/>
                <w:sz w:val="22"/>
                <w:szCs w:val="22"/>
                <w:highlight w:val="none"/>
                <w:u w:val="none"/>
                <w:lang w:val="en-US" w:eastAsia="zh-CN" w:bidi="ar"/>
              </w:rPr>
              <w:t>2</w:t>
            </w:r>
          </w:p>
        </w:tc>
        <w:tc>
          <w:tcPr>
            <w:tcW w:w="1136" w:type="dxa"/>
            <w:tcBorders>
              <w:top w:val="single" w:color="auto" w:sz="4" w:space="0"/>
              <w:left w:val="single" w:color="000000" w:sz="4" w:space="0"/>
              <w:bottom w:val="single" w:color="auto" w:sz="4" w:space="0"/>
              <w:right w:val="single" w:color="000000" w:sz="4" w:space="0"/>
            </w:tcBorders>
            <w:shd w:val="clear" w:color="auto" w:fill="auto"/>
            <w:vAlign w:val="center"/>
          </w:tcPr>
          <w:p w14:paraId="6EB53CBF">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cs="仿宋_GB2312"/>
                <w:i w:val="0"/>
                <w:iCs w:val="0"/>
                <w:color w:val="000000"/>
                <w:kern w:val="0"/>
                <w:sz w:val="22"/>
                <w:szCs w:val="22"/>
                <w:highlight w:val="none"/>
                <w:u w:val="none"/>
                <w:lang w:val="en-US" w:eastAsia="zh-CN" w:bidi="ar"/>
              </w:rPr>
              <w:t>1</w:t>
            </w:r>
          </w:p>
        </w:tc>
        <w:tc>
          <w:tcPr>
            <w:tcW w:w="1466" w:type="dxa"/>
            <w:tcBorders>
              <w:top w:val="single" w:color="auto" w:sz="4" w:space="0"/>
              <w:left w:val="single" w:color="000000" w:sz="4" w:space="0"/>
              <w:bottom w:val="single" w:color="auto" w:sz="4" w:space="0"/>
              <w:right w:val="single" w:color="auto" w:sz="4" w:space="0"/>
            </w:tcBorders>
            <w:shd w:val="clear" w:color="auto" w:fill="auto"/>
            <w:vAlign w:val="center"/>
          </w:tcPr>
          <w:p w14:paraId="765B4313">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cs="仿宋_GB2312"/>
                <w:i w:val="0"/>
                <w:iCs w:val="0"/>
                <w:color w:val="000000"/>
                <w:kern w:val="0"/>
                <w:sz w:val="22"/>
                <w:szCs w:val="22"/>
                <w:highlight w:val="none"/>
                <w:u w:val="none"/>
                <w:lang w:val="en-US" w:eastAsia="zh-CN" w:bidi="ar"/>
              </w:rPr>
              <w:t>33.33</w:t>
            </w:r>
            <w:r>
              <w:rPr>
                <w:rFonts w:hint="eastAsia" w:ascii="仿宋_GB2312" w:hAnsi="仿宋_GB2312" w:eastAsia="仿宋_GB2312" w:cs="仿宋_GB2312"/>
                <w:i w:val="0"/>
                <w:iCs w:val="0"/>
                <w:color w:val="000000"/>
                <w:kern w:val="0"/>
                <w:sz w:val="22"/>
                <w:szCs w:val="22"/>
                <w:highlight w:val="none"/>
                <w:u w:val="none"/>
                <w:lang w:val="en-US" w:eastAsia="zh-CN" w:bidi="ar"/>
              </w:rPr>
              <w:t>%</w:t>
            </w:r>
          </w:p>
        </w:tc>
      </w:tr>
      <w:tr w14:paraId="38B6D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0" w:hRule="atLeast"/>
        </w:trPr>
        <w:tc>
          <w:tcPr>
            <w:tcW w:w="747" w:type="dxa"/>
            <w:tcBorders>
              <w:top w:val="single" w:color="auto" w:sz="4" w:space="0"/>
              <w:left w:val="single" w:color="auto" w:sz="4" w:space="0"/>
              <w:bottom w:val="single" w:color="auto" w:sz="4" w:space="0"/>
              <w:right w:val="single" w:color="000000" w:sz="4" w:space="0"/>
            </w:tcBorders>
            <w:shd w:val="clear" w:color="auto" w:fill="auto"/>
            <w:vAlign w:val="center"/>
          </w:tcPr>
          <w:p w14:paraId="4CE9680D">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5</w:t>
            </w:r>
          </w:p>
        </w:tc>
        <w:tc>
          <w:tcPr>
            <w:tcW w:w="126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CE6BD1A">
            <w:pPr>
              <w:jc w:val="center"/>
              <w:rPr>
                <w:rFonts w:hint="eastAsia" w:ascii="仿宋_GB2312" w:hAnsi="仿宋_GB2312" w:eastAsia="仿宋_GB2312" w:cs="仿宋_GB2312"/>
                <w:i w:val="0"/>
                <w:iCs w:val="0"/>
                <w:color w:val="000000"/>
                <w:sz w:val="22"/>
                <w:szCs w:val="22"/>
                <w:highlight w:val="none"/>
                <w:u w:val="none"/>
              </w:rPr>
            </w:pPr>
          </w:p>
        </w:tc>
        <w:tc>
          <w:tcPr>
            <w:tcW w:w="631" w:type="dxa"/>
            <w:vMerge w:val="restart"/>
            <w:tcBorders>
              <w:top w:val="single" w:color="auto" w:sz="4" w:space="0"/>
              <w:left w:val="single" w:color="000000" w:sz="4" w:space="0"/>
              <w:bottom w:val="single" w:color="auto" w:sz="4" w:space="0"/>
              <w:right w:val="single" w:color="000000" w:sz="4" w:space="0"/>
            </w:tcBorders>
            <w:shd w:val="clear" w:color="auto" w:fill="auto"/>
            <w:textDirection w:val="tbRlV"/>
            <w:vAlign w:val="center"/>
          </w:tcPr>
          <w:p w14:paraId="047D3254">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资金投入</w:t>
            </w:r>
          </w:p>
        </w:tc>
        <w:tc>
          <w:tcPr>
            <w:tcW w:w="1109" w:type="dxa"/>
            <w:tcBorders>
              <w:top w:val="single" w:color="auto" w:sz="4" w:space="0"/>
              <w:left w:val="single" w:color="000000" w:sz="4" w:space="0"/>
              <w:bottom w:val="single" w:color="auto" w:sz="4" w:space="0"/>
              <w:right w:val="single" w:color="000000" w:sz="4" w:space="0"/>
            </w:tcBorders>
            <w:shd w:val="clear" w:color="auto" w:fill="auto"/>
            <w:vAlign w:val="center"/>
          </w:tcPr>
          <w:p w14:paraId="3992A304">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预算编制科学性</w:t>
            </w:r>
          </w:p>
        </w:tc>
        <w:tc>
          <w:tcPr>
            <w:tcW w:w="885" w:type="dxa"/>
            <w:tcBorders>
              <w:top w:val="single" w:color="auto" w:sz="4" w:space="0"/>
              <w:left w:val="single" w:color="000000" w:sz="4" w:space="0"/>
              <w:bottom w:val="single" w:color="auto" w:sz="4" w:space="0"/>
              <w:right w:val="single" w:color="000000" w:sz="4" w:space="0"/>
            </w:tcBorders>
            <w:shd w:val="clear" w:color="auto" w:fill="auto"/>
            <w:vAlign w:val="center"/>
          </w:tcPr>
          <w:p w14:paraId="6339CC9B">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3</w:t>
            </w:r>
          </w:p>
        </w:tc>
        <w:tc>
          <w:tcPr>
            <w:tcW w:w="1429" w:type="dxa"/>
            <w:tcBorders>
              <w:top w:val="single" w:color="auto" w:sz="4" w:space="0"/>
              <w:left w:val="single" w:color="000000" w:sz="4" w:space="0"/>
              <w:bottom w:val="single" w:color="auto" w:sz="4" w:space="0"/>
              <w:right w:val="single" w:color="000000" w:sz="4" w:space="0"/>
            </w:tcBorders>
            <w:shd w:val="clear" w:color="auto" w:fill="auto"/>
            <w:vAlign w:val="center"/>
          </w:tcPr>
          <w:p w14:paraId="46731CFA">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项目预算编制是否经过科学论证、有明确标准，资金额度与年度目标是否相适应，用以反映和考核项目预算编制的科学性、合理性情况。</w:t>
            </w:r>
          </w:p>
        </w:tc>
        <w:tc>
          <w:tcPr>
            <w:tcW w:w="1183" w:type="dxa"/>
            <w:tcBorders>
              <w:top w:val="single" w:color="auto" w:sz="4" w:space="0"/>
              <w:left w:val="single" w:color="000000" w:sz="4" w:space="0"/>
              <w:bottom w:val="single" w:color="auto" w:sz="4" w:space="0"/>
              <w:right w:val="single" w:color="000000" w:sz="4" w:space="0"/>
            </w:tcBorders>
            <w:shd w:val="clear" w:color="auto" w:fill="auto"/>
            <w:vAlign w:val="center"/>
          </w:tcPr>
          <w:p w14:paraId="4B6066C3">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科学</w:t>
            </w:r>
          </w:p>
        </w:tc>
        <w:tc>
          <w:tcPr>
            <w:tcW w:w="1732" w:type="dxa"/>
            <w:tcBorders>
              <w:top w:val="single" w:color="auto" w:sz="4" w:space="0"/>
              <w:left w:val="single" w:color="000000" w:sz="4" w:space="0"/>
              <w:bottom w:val="single" w:color="auto" w:sz="4" w:space="0"/>
              <w:right w:val="single" w:color="000000" w:sz="4" w:space="0"/>
            </w:tcBorders>
            <w:shd w:val="clear" w:color="auto" w:fill="auto"/>
            <w:vAlign w:val="center"/>
          </w:tcPr>
          <w:p w14:paraId="05E48391">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评价要点：①预算编制是否经过科学论证；②预算内容与项 目内容是否匹配；③预算额度测算依据是否充分，是否按照标准编制；④预算确定的项目投资额或资金量是否与工作任务相匹配。</w:t>
            </w:r>
          </w:p>
        </w:tc>
        <w:tc>
          <w:tcPr>
            <w:tcW w:w="1149" w:type="dxa"/>
            <w:tcBorders>
              <w:top w:val="single" w:color="auto" w:sz="4" w:space="0"/>
              <w:left w:val="single" w:color="000000" w:sz="4" w:space="0"/>
              <w:bottom w:val="single" w:color="auto" w:sz="4" w:space="0"/>
              <w:right w:val="single" w:color="000000" w:sz="4" w:space="0"/>
            </w:tcBorders>
            <w:shd w:val="clear" w:color="auto" w:fill="auto"/>
            <w:vAlign w:val="center"/>
          </w:tcPr>
          <w:p w14:paraId="2BC37424">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实施方案</w:t>
            </w:r>
          </w:p>
        </w:tc>
        <w:tc>
          <w:tcPr>
            <w:tcW w:w="2085" w:type="dxa"/>
            <w:tcBorders>
              <w:top w:val="single" w:color="auto" w:sz="4" w:space="0"/>
              <w:left w:val="single" w:color="000000" w:sz="4" w:space="0"/>
              <w:bottom w:val="single" w:color="auto" w:sz="4" w:space="0"/>
              <w:right w:val="single" w:color="000000" w:sz="4" w:space="0"/>
            </w:tcBorders>
            <w:shd w:val="clear" w:color="auto" w:fill="auto"/>
            <w:vAlign w:val="center"/>
          </w:tcPr>
          <w:p w14:paraId="773F6C05">
            <w:pPr>
              <w:keepNext w:val="0"/>
              <w:keepLines w:val="0"/>
              <w:widowControl/>
              <w:suppressLineNumbers w:val="0"/>
              <w:ind w:firstLine="0" w:firstLineChars="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cs="仿宋_GB2312"/>
                <w:i w:val="0"/>
                <w:iCs w:val="0"/>
                <w:color w:val="000000"/>
                <w:kern w:val="0"/>
                <w:sz w:val="22"/>
                <w:szCs w:val="22"/>
                <w:highlight w:val="none"/>
                <w:u w:val="none"/>
                <w:lang w:val="en-US" w:eastAsia="zh-CN" w:bidi="ar"/>
              </w:rPr>
              <w:t>①</w:t>
            </w:r>
            <w:r>
              <w:rPr>
                <w:rFonts w:hint="eastAsia" w:ascii="仿宋_GB2312" w:hAnsi="仿宋_GB2312" w:eastAsia="仿宋_GB2312" w:cs="仿宋_GB2312"/>
                <w:i w:val="0"/>
                <w:iCs w:val="0"/>
                <w:color w:val="000000"/>
                <w:kern w:val="0"/>
                <w:sz w:val="22"/>
                <w:szCs w:val="22"/>
                <w:highlight w:val="none"/>
                <w:u w:val="none"/>
                <w:lang w:val="en-US" w:eastAsia="zh-CN" w:bidi="ar"/>
              </w:rPr>
              <w:t>预算内容与项目内容匹配；</w:t>
            </w:r>
            <w:r>
              <w:rPr>
                <w:rFonts w:hint="eastAsia" w:cs="仿宋_GB2312"/>
                <w:i w:val="0"/>
                <w:iCs w:val="0"/>
                <w:color w:val="000000"/>
                <w:kern w:val="0"/>
                <w:sz w:val="22"/>
                <w:szCs w:val="22"/>
                <w:highlight w:val="none"/>
                <w:u w:val="none"/>
                <w:lang w:val="en-US" w:eastAsia="zh-CN" w:bidi="ar"/>
              </w:rPr>
              <w:t>②</w:t>
            </w:r>
            <w:r>
              <w:rPr>
                <w:rFonts w:hint="eastAsia" w:ascii="仿宋_GB2312" w:hAnsi="仿宋_GB2312" w:eastAsia="仿宋_GB2312" w:cs="仿宋_GB2312"/>
                <w:i w:val="0"/>
                <w:iCs w:val="0"/>
                <w:color w:val="000000"/>
                <w:kern w:val="0"/>
                <w:sz w:val="22"/>
                <w:szCs w:val="22"/>
                <w:highlight w:val="none"/>
                <w:u w:val="none"/>
                <w:lang w:val="en-US" w:eastAsia="zh-CN" w:bidi="ar"/>
              </w:rPr>
              <w:t>预算额度按照标准编制；</w:t>
            </w:r>
            <w:r>
              <w:rPr>
                <w:rFonts w:hint="eastAsia" w:cs="仿宋_GB2312"/>
                <w:i w:val="0"/>
                <w:iCs w:val="0"/>
                <w:color w:val="000000"/>
                <w:kern w:val="0"/>
                <w:sz w:val="22"/>
                <w:szCs w:val="22"/>
                <w:highlight w:val="none"/>
                <w:u w:val="none"/>
                <w:lang w:val="en-US" w:eastAsia="zh-CN" w:bidi="ar"/>
              </w:rPr>
              <w:t>③</w:t>
            </w:r>
            <w:r>
              <w:rPr>
                <w:rFonts w:hint="eastAsia" w:ascii="仿宋_GB2312" w:hAnsi="仿宋_GB2312" w:eastAsia="仿宋_GB2312" w:cs="仿宋_GB2312"/>
                <w:i w:val="0"/>
                <w:iCs w:val="0"/>
                <w:color w:val="000000"/>
                <w:kern w:val="0"/>
                <w:sz w:val="22"/>
                <w:szCs w:val="22"/>
                <w:highlight w:val="none"/>
                <w:u w:val="none"/>
                <w:lang w:val="en-US" w:eastAsia="zh-CN" w:bidi="ar"/>
              </w:rPr>
              <w:t xml:space="preserve">预算确定的项目投资额与工作任务相匹配。综上所述，该指标满分 3 分，得分 </w:t>
            </w:r>
            <w:r>
              <w:rPr>
                <w:rFonts w:hint="eastAsia" w:cs="仿宋_GB2312"/>
                <w:i w:val="0"/>
                <w:iCs w:val="0"/>
                <w:color w:val="000000"/>
                <w:kern w:val="0"/>
                <w:sz w:val="22"/>
                <w:szCs w:val="22"/>
                <w:highlight w:val="none"/>
                <w:u w:val="none"/>
                <w:lang w:val="en-US" w:eastAsia="zh-CN" w:bidi="ar"/>
              </w:rPr>
              <w:t>3</w:t>
            </w:r>
            <w:r>
              <w:rPr>
                <w:rFonts w:hint="eastAsia" w:ascii="仿宋_GB2312" w:hAnsi="仿宋_GB2312" w:eastAsia="仿宋_GB2312" w:cs="仿宋_GB2312"/>
                <w:i w:val="0"/>
                <w:iCs w:val="0"/>
                <w:color w:val="000000"/>
                <w:kern w:val="0"/>
                <w:sz w:val="22"/>
                <w:szCs w:val="22"/>
                <w:highlight w:val="none"/>
                <w:u w:val="none"/>
                <w:lang w:val="en-US" w:eastAsia="zh-CN" w:bidi="ar"/>
              </w:rPr>
              <w:t>分。</w:t>
            </w:r>
          </w:p>
        </w:tc>
        <w:tc>
          <w:tcPr>
            <w:tcW w:w="1136" w:type="dxa"/>
            <w:tcBorders>
              <w:top w:val="single" w:color="auto" w:sz="4" w:space="0"/>
              <w:left w:val="single" w:color="000000" w:sz="4" w:space="0"/>
              <w:bottom w:val="single" w:color="auto" w:sz="4" w:space="0"/>
              <w:right w:val="single" w:color="000000" w:sz="4" w:space="0"/>
            </w:tcBorders>
            <w:shd w:val="clear" w:color="auto" w:fill="auto"/>
            <w:vAlign w:val="center"/>
          </w:tcPr>
          <w:p w14:paraId="7DB1A557">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cs="仿宋_GB2312"/>
                <w:i w:val="0"/>
                <w:iCs w:val="0"/>
                <w:color w:val="000000"/>
                <w:kern w:val="0"/>
                <w:sz w:val="22"/>
                <w:szCs w:val="22"/>
                <w:highlight w:val="none"/>
                <w:u w:val="none"/>
                <w:lang w:val="en-US" w:eastAsia="zh-CN" w:bidi="ar"/>
              </w:rPr>
              <w:t>0</w:t>
            </w:r>
          </w:p>
        </w:tc>
        <w:tc>
          <w:tcPr>
            <w:tcW w:w="1136" w:type="dxa"/>
            <w:tcBorders>
              <w:top w:val="single" w:color="auto" w:sz="4" w:space="0"/>
              <w:left w:val="single" w:color="000000" w:sz="4" w:space="0"/>
              <w:bottom w:val="single" w:color="auto" w:sz="4" w:space="0"/>
              <w:right w:val="single" w:color="000000" w:sz="4" w:space="0"/>
            </w:tcBorders>
            <w:shd w:val="clear" w:color="auto" w:fill="auto"/>
            <w:vAlign w:val="center"/>
          </w:tcPr>
          <w:p w14:paraId="3B390C27">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cs="仿宋_GB2312"/>
                <w:i w:val="0"/>
                <w:iCs w:val="0"/>
                <w:color w:val="000000"/>
                <w:kern w:val="0"/>
                <w:sz w:val="22"/>
                <w:szCs w:val="22"/>
                <w:highlight w:val="none"/>
                <w:u w:val="none"/>
                <w:lang w:val="en-US" w:eastAsia="zh-CN" w:bidi="ar"/>
              </w:rPr>
              <w:t>3</w:t>
            </w:r>
          </w:p>
        </w:tc>
        <w:tc>
          <w:tcPr>
            <w:tcW w:w="1466" w:type="dxa"/>
            <w:tcBorders>
              <w:top w:val="single" w:color="auto" w:sz="4" w:space="0"/>
              <w:left w:val="single" w:color="000000" w:sz="4" w:space="0"/>
              <w:bottom w:val="single" w:color="auto" w:sz="4" w:space="0"/>
              <w:right w:val="single" w:color="auto" w:sz="4" w:space="0"/>
            </w:tcBorders>
            <w:shd w:val="clear" w:color="auto" w:fill="auto"/>
            <w:vAlign w:val="center"/>
          </w:tcPr>
          <w:p w14:paraId="45911293">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cs="仿宋_GB2312"/>
                <w:i w:val="0"/>
                <w:iCs w:val="0"/>
                <w:color w:val="000000"/>
                <w:kern w:val="0"/>
                <w:sz w:val="22"/>
                <w:szCs w:val="22"/>
                <w:highlight w:val="none"/>
                <w:u w:val="none"/>
                <w:lang w:val="en-US" w:eastAsia="zh-CN" w:bidi="ar"/>
              </w:rPr>
              <w:t>100</w:t>
            </w:r>
            <w:r>
              <w:rPr>
                <w:rFonts w:hint="eastAsia" w:ascii="仿宋_GB2312" w:hAnsi="仿宋_GB2312" w:eastAsia="仿宋_GB2312" w:cs="仿宋_GB2312"/>
                <w:i w:val="0"/>
                <w:iCs w:val="0"/>
                <w:color w:val="000000"/>
                <w:kern w:val="0"/>
                <w:sz w:val="22"/>
                <w:szCs w:val="22"/>
                <w:highlight w:val="none"/>
                <w:u w:val="none"/>
                <w:lang w:val="en-US" w:eastAsia="zh-CN" w:bidi="ar"/>
              </w:rPr>
              <w:t>%</w:t>
            </w:r>
          </w:p>
        </w:tc>
      </w:tr>
      <w:tr w14:paraId="3EF96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7" w:hRule="atLeast"/>
        </w:trPr>
        <w:tc>
          <w:tcPr>
            <w:tcW w:w="747" w:type="dxa"/>
            <w:tcBorders>
              <w:top w:val="single" w:color="auto" w:sz="4" w:space="0"/>
              <w:left w:val="single" w:color="auto" w:sz="4" w:space="0"/>
              <w:bottom w:val="single" w:color="auto" w:sz="4" w:space="0"/>
              <w:right w:val="single" w:color="000000" w:sz="4" w:space="0"/>
            </w:tcBorders>
            <w:shd w:val="clear" w:color="auto" w:fill="auto"/>
            <w:vAlign w:val="center"/>
          </w:tcPr>
          <w:p w14:paraId="43FC8BF5">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6</w:t>
            </w:r>
          </w:p>
        </w:tc>
        <w:tc>
          <w:tcPr>
            <w:tcW w:w="126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F1EF279">
            <w:pPr>
              <w:jc w:val="center"/>
              <w:rPr>
                <w:rFonts w:hint="eastAsia" w:ascii="仿宋_GB2312" w:hAnsi="仿宋_GB2312" w:eastAsia="仿宋_GB2312" w:cs="仿宋_GB2312"/>
                <w:i w:val="0"/>
                <w:iCs w:val="0"/>
                <w:color w:val="000000"/>
                <w:sz w:val="22"/>
                <w:szCs w:val="22"/>
                <w:highlight w:val="none"/>
                <w:u w:val="none"/>
              </w:rPr>
            </w:pPr>
          </w:p>
        </w:tc>
        <w:tc>
          <w:tcPr>
            <w:tcW w:w="631" w:type="dxa"/>
            <w:vMerge w:val="continue"/>
            <w:tcBorders>
              <w:top w:val="single" w:color="auto" w:sz="4" w:space="0"/>
              <w:left w:val="single" w:color="000000" w:sz="4" w:space="0"/>
              <w:bottom w:val="single" w:color="auto" w:sz="4" w:space="0"/>
              <w:right w:val="single" w:color="000000" w:sz="4" w:space="0"/>
            </w:tcBorders>
            <w:shd w:val="clear" w:color="auto" w:fill="auto"/>
            <w:textDirection w:val="tbRlV"/>
            <w:vAlign w:val="center"/>
          </w:tcPr>
          <w:p w14:paraId="59908F6A">
            <w:pPr>
              <w:jc w:val="center"/>
              <w:rPr>
                <w:rFonts w:hint="eastAsia" w:ascii="仿宋_GB2312" w:hAnsi="仿宋_GB2312" w:eastAsia="仿宋_GB2312" w:cs="仿宋_GB2312"/>
                <w:i w:val="0"/>
                <w:iCs w:val="0"/>
                <w:color w:val="000000"/>
                <w:sz w:val="22"/>
                <w:szCs w:val="22"/>
                <w:highlight w:val="none"/>
                <w:u w:val="none"/>
              </w:rPr>
            </w:pPr>
          </w:p>
        </w:tc>
        <w:tc>
          <w:tcPr>
            <w:tcW w:w="1109" w:type="dxa"/>
            <w:tcBorders>
              <w:top w:val="single" w:color="auto" w:sz="4" w:space="0"/>
              <w:left w:val="single" w:color="000000" w:sz="4" w:space="0"/>
              <w:bottom w:val="single" w:color="auto" w:sz="4" w:space="0"/>
              <w:right w:val="single" w:color="000000" w:sz="4" w:space="0"/>
            </w:tcBorders>
            <w:shd w:val="clear" w:color="auto" w:fill="auto"/>
            <w:vAlign w:val="center"/>
          </w:tcPr>
          <w:p w14:paraId="6AAC060E">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资金分配合理性</w:t>
            </w:r>
          </w:p>
        </w:tc>
        <w:tc>
          <w:tcPr>
            <w:tcW w:w="885" w:type="dxa"/>
            <w:tcBorders>
              <w:top w:val="single" w:color="auto" w:sz="4" w:space="0"/>
              <w:left w:val="single" w:color="000000" w:sz="4" w:space="0"/>
              <w:bottom w:val="single" w:color="auto" w:sz="4" w:space="0"/>
              <w:right w:val="single" w:color="000000" w:sz="4" w:space="0"/>
            </w:tcBorders>
            <w:shd w:val="clear" w:color="auto" w:fill="auto"/>
            <w:vAlign w:val="center"/>
          </w:tcPr>
          <w:p w14:paraId="1FA33BC0">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3</w:t>
            </w:r>
          </w:p>
        </w:tc>
        <w:tc>
          <w:tcPr>
            <w:tcW w:w="1429" w:type="dxa"/>
            <w:tcBorders>
              <w:top w:val="single" w:color="auto" w:sz="4" w:space="0"/>
              <w:left w:val="single" w:color="000000" w:sz="4" w:space="0"/>
              <w:bottom w:val="single" w:color="auto" w:sz="4" w:space="0"/>
              <w:right w:val="single" w:color="000000" w:sz="4" w:space="0"/>
            </w:tcBorders>
            <w:shd w:val="clear" w:color="auto" w:fill="auto"/>
            <w:vAlign w:val="center"/>
          </w:tcPr>
          <w:p w14:paraId="2CD14AEB">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项目预算资金分配是否有测算依据，与补助单位或地方实际是否相适应，用以反映和考核项目预算资金分配的科学性、合理性情况。</w:t>
            </w:r>
          </w:p>
        </w:tc>
        <w:tc>
          <w:tcPr>
            <w:tcW w:w="1183" w:type="dxa"/>
            <w:tcBorders>
              <w:top w:val="single" w:color="auto" w:sz="4" w:space="0"/>
              <w:left w:val="single" w:color="000000" w:sz="4" w:space="0"/>
              <w:bottom w:val="single" w:color="auto" w:sz="4" w:space="0"/>
              <w:right w:val="single" w:color="000000" w:sz="4" w:space="0"/>
            </w:tcBorders>
            <w:shd w:val="clear" w:color="auto" w:fill="auto"/>
            <w:vAlign w:val="center"/>
          </w:tcPr>
          <w:p w14:paraId="297E05C1">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合理</w:t>
            </w:r>
          </w:p>
        </w:tc>
        <w:tc>
          <w:tcPr>
            <w:tcW w:w="1732" w:type="dxa"/>
            <w:tcBorders>
              <w:top w:val="single" w:color="auto" w:sz="4" w:space="0"/>
              <w:left w:val="single" w:color="000000" w:sz="4" w:space="0"/>
              <w:bottom w:val="single" w:color="auto" w:sz="4" w:space="0"/>
              <w:right w:val="single" w:color="000000" w:sz="4" w:space="0"/>
            </w:tcBorders>
            <w:shd w:val="clear" w:color="auto" w:fill="auto"/>
            <w:vAlign w:val="center"/>
          </w:tcPr>
          <w:p w14:paraId="2E050862">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评价要点：①预算资金分配依据是否充分；②资金分配额度是否合理，与项目单位或地方实际是否相适应。</w:t>
            </w:r>
          </w:p>
        </w:tc>
        <w:tc>
          <w:tcPr>
            <w:tcW w:w="1149" w:type="dxa"/>
            <w:tcBorders>
              <w:top w:val="single" w:color="auto" w:sz="4" w:space="0"/>
              <w:left w:val="single" w:color="000000" w:sz="4" w:space="0"/>
              <w:bottom w:val="single" w:color="auto" w:sz="4" w:space="0"/>
              <w:right w:val="single" w:color="000000" w:sz="4" w:space="0"/>
            </w:tcBorders>
            <w:shd w:val="clear" w:color="auto" w:fill="auto"/>
            <w:vAlign w:val="center"/>
          </w:tcPr>
          <w:p w14:paraId="590B1323">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实施方案</w:t>
            </w:r>
          </w:p>
        </w:tc>
        <w:tc>
          <w:tcPr>
            <w:tcW w:w="2085" w:type="dxa"/>
            <w:tcBorders>
              <w:top w:val="single" w:color="auto" w:sz="4" w:space="0"/>
              <w:left w:val="single" w:color="000000" w:sz="4" w:space="0"/>
              <w:bottom w:val="single" w:color="auto" w:sz="4" w:space="0"/>
              <w:right w:val="single" w:color="000000" w:sz="4" w:space="0"/>
            </w:tcBorders>
            <w:shd w:val="clear" w:color="auto" w:fill="auto"/>
            <w:vAlign w:val="center"/>
          </w:tcPr>
          <w:p w14:paraId="4B2EF099">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依据项目资金申请报告，项目预算资金分配依据充分，资金分配合理，与克拉玛依市本地实际相适应。综上所述，该指标满分 3 分，得分 3 分。</w:t>
            </w:r>
          </w:p>
        </w:tc>
        <w:tc>
          <w:tcPr>
            <w:tcW w:w="1136" w:type="dxa"/>
            <w:tcBorders>
              <w:top w:val="single" w:color="auto" w:sz="4" w:space="0"/>
              <w:left w:val="single" w:color="000000" w:sz="4" w:space="0"/>
              <w:bottom w:val="single" w:color="auto" w:sz="4" w:space="0"/>
              <w:right w:val="single" w:color="000000" w:sz="4" w:space="0"/>
            </w:tcBorders>
            <w:shd w:val="clear" w:color="auto" w:fill="auto"/>
            <w:vAlign w:val="center"/>
          </w:tcPr>
          <w:p w14:paraId="6D5AE85C">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0</w:t>
            </w:r>
          </w:p>
        </w:tc>
        <w:tc>
          <w:tcPr>
            <w:tcW w:w="1136" w:type="dxa"/>
            <w:tcBorders>
              <w:top w:val="single" w:color="auto" w:sz="4" w:space="0"/>
              <w:left w:val="single" w:color="000000" w:sz="4" w:space="0"/>
              <w:bottom w:val="single" w:color="auto" w:sz="4" w:space="0"/>
              <w:right w:val="single" w:color="000000" w:sz="4" w:space="0"/>
            </w:tcBorders>
            <w:shd w:val="clear" w:color="auto" w:fill="auto"/>
            <w:vAlign w:val="center"/>
          </w:tcPr>
          <w:p w14:paraId="7E09B351">
            <w:pPr>
              <w:keepNext w:val="0"/>
              <w:keepLines w:val="0"/>
              <w:widowControl/>
              <w:suppressLineNumbers w:val="0"/>
              <w:jc w:val="both"/>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3</w:t>
            </w:r>
          </w:p>
        </w:tc>
        <w:tc>
          <w:tcPr>
            <w:tcW w:w="1466" w:type="dxa"/>
            <w:tcBorders>
              <w:top w:val="single" w:color="auto" w:sz="4" w:space="0"/>
              <w:left w:val="single" w:color="000000" w:sz="4" w:space="0"/>
              <w:bottom w:val="single" w:color="auto" w:sz="4" w:space="0"/>
              <w:right w:val="single" w:color="auto" w:sz="4" w:space="0"/>
            </w:tcBorders>
            <w:shd w:val="clear" w:color="auto" w:fill="auto"/>
            <w:vAlign w:val="center"/>
          </w:tcPr>
          <w:p w14:paraId="446C8D69">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100.00%</w:t>
            </w:r>
          </w:p>
        </w:tc>
      </w:tr>
      <w:tr w14:paraId="6E279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9" w:hRule="atLeast"/>
        </w:trPr>
        <w:tc>
          <w:tcPr>
            <w:tcW w:w="747" w:type="dxa"/>
            <w:tcBorders>
              <w:top w:val="single" w:color="auto" w:sz="4" w:space="0"/>
              <w:left w:val="single" w:color="000000" w:sz="4" w:space="0"/>
              <w:bottom w:val="single" w:color="auto" w:sz="4" w:space="0"/>
              <w:right w:val="single" w:color="000000" w:sz="4" w:space="0"/>
            </w:tcBorders>
            <w:shd w:val="clear" w:color="auto" w:fill="auto"/>
            <w:vAlign w:val="center"/>
          </w:tcPr>
          <w:p w14:paraId="56CEBC84">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7</w:t>
            </w:r>
          </w:p>
        </w:tc>
        <w:tc>
          <w:tcPr>
            <w:tcW w:w="126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4F0B1559">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项目过程（20分）</w:t>
            </w:r>
          </w:p>
        </w:tc>
        <w:tc>
          <w:tcPr>
            <w:tcW w:w="631" w:type="dxa"/>
            <w:vMerge w:val="restart"/>
            <w:tcBorders>
              <w:top w:val="single" w:color="auto" w:sz="4" w:space="0"/>
              <w:left w:val="single" w:color="000000" w:sz="4" w:space="0"/>
              <w:bottom w:val="single" w:color="auto" w:sz="4" w:space="0"/>
              <w:right w:val="single" w:color="000000" w:sz="4" w:space="0"/>
            </w:tcBorders>
            <w:shd w:val="clear" w:color="auto" w:fill="auto"/>
            <w:textDirection w:val="tbRlV"/>
            <w:vAlign w:val="center"/>
          </w:tcPr>
          <w:p w14:paraId="33CD7B44">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资金管理</w:t>
            </w:r>
          </w:p>
        </w:tc>
        <w:tc>
          <w:tcPr>
            <w:tcW w:w="1109" w:type="dxa"/>
            <w:tcBorders>
              <w:top w:val="single" w:color="auto" w:sz="4" w:space="0"/>
              <w:left w:val="single" w:color="000000" w:sz="4" w:space="0"/>
              <w:bottom w:val="single" w:color="auto" w:sz="4" w:space="0"/>
              <w:right w:val="single" w:color="000000" w:sz="4" w:space="0"/>
            </w:tcBorders>
            <w:shd w:val="clear" w:color="auto" w:fill="auto"/>
            <w:vAlign w:val="center"/>
          </w:tcPr>
          <w:p w14:paraId="59B08A66">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资金到位率</w:t>
            </w:r>
          </w:p>
        </w:tc>
        <w:tc>
          <w:tcPr>
            <w:tcW w:w="885" w:type="dxa"/>
            <w:tcBorders>
              <w:top w:val="single" w:color="auto" w:sz="4" w:space="0"/>
              <w:left w:val="single" w:color="000000" w:sz="4" w:space="0"/>
              <w:bottom w:val="single" w:color="auto" w:sz="4" w:space="0"/>
              <w:right w:val="single" w:color="000000" w:sz="4" w:space="0"/>
            </w:tcBorders>
            <w:shd w:val="clear" w:color="auto" w:fill="auto"/>
            <w:vAlign w:val="center"/>
          </w:tcPr>
          <w:p w14:paraId="305F4227">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3</w:t>
            </w:r>
          </w:p>
        </w:tc>
        <w:tc>
          <w:tcPr>
            <w:tcW w:w="1429" w:type="dxa"/>
            <w:tcBorders>
              <w:top w:val="single" w:color="auto" w:sz="4" w:space="0"/>
              <w:left w:val="single" w:color="000000" w:sz="4" w:space="0"/>
              <w:bottom w:val="single" w:color="auto" w:sz="4" w:space="0"/>
              <w:right w:val="single" w:color="000000" w:sz="4" w:space="0"/>
            </w:tcBorders>
            <w:shd w:val="clear" w:color="auto" w:fill="auto"/>
            <w:vAlign w:val="center"/>
          </w:tcPr>
          <w:p w14:paraId="25845E43">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实际到位资金与预算资金的比率，用以反映和考核资金落实情况对项目实施的总体保障程度。</w:t>
            </w:r>
          </w:p>
        </w:tc>
        <w:tc>
          <w:tcPr>
            <w:tcW w:w="1183" w:type="dxa"/>
            <w:tcBorders>
              <w:top w:val="single" w:color="auto" w:sz="4" w:space="0"/>
              <w:left w:val="single" w:color="000000" w:sz="4" w:space="0"/>
              <w:bottom w:val="single" w:color="auto" w:sz="4" w:space="0"/>
              <w:right w:val="single" w:color="000000" w:sz="4" w:space="0"/>
            </w:tcBorders>
            <w:shd w:val="clear" w:color="auto" w:fill="auto"/>
            <w:vAlign w:val="center"/>
          </w:tcPr>
          <w:p w14:paraId="39D878E1">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100%</w:t>
            </w:r>
          </w:p>
        </w:tc>
        <w:tc>
          <w:tcPr>
            <w:tcW w:w="1732" w:type="dxa"/>
            <w:tcBorders>
              <w:top w:val="single" w:color="auto" w:sz="4" w:space="0"/>
              <w:left w:val="single" w:color="000000" w:sz="4" w:space="0"/>
              <w:bottom w:val="single" w:color="auto" w:sz="4" w:space="0"/>
              <w:right w:val="single" w:color="000000" w:sz="4" w:space="0"/>
            </w:tcBorders>
            <w:shd w:val="clear" w:color="auto" w:fill="auto"/>
            <w:vAlign w:val="center"/>
          </w:tcPr>
          <w:p w14:paraId="1E26B5C3">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资金到位率=（实际到位资金/预算资金） × 100%。</w:t>
            </w:r>
          </w:p>
        </w:tc>
        <w:tc>
          <w:tcPr>
            <w:tcW w:w="1149" w:type="dxa"/>
            <w:tcBorders>
              <w:top w:val="single" w:color="auto" w:sz="4" w:space="0"/>
              <w:left w:val="single" w:color="000000" w:sz="4" w:space="0"/>
              <w:bottom w:val="single" w:color="auto" w:sz="4" w:space="0"/>
              <w:right w:val="single" w:color="000000" w:sz="4" w:space="0"/>
            </w:tcBorders>
            <w:shd w:val="clear" w:color="auto" w:fill="auto"/>
            <w:vAlign w:val="center"/>
          </w:tcPr>
          <w:p w14:paraId="1E1F41E1">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资金到位文件</w:t>
            </w:r>
          </w:p>
        </w:tc>
        <w:tc>
          <w:tcPr>
            <w:tcW w:w="2085" w:type="dxa"/>
            <w:tcBorders>
              <w:top w:val="single" w:color="auto" w:sz="4" w:space="0"/>
              <w:left w:val="single" w:color="000000" w:sz="4" w:space="0"/>
              <w:bottom w:val="single" w:color="auto" w:sz="4" w:space="0"/>
              <w:right w:val="single" w:color="000000" w:sz="4" w:space="0"/>
            </w:tcBorders>
            <w:shd w:val="clear" w:color="auto" w:fill="auto"/>
            <w:vAlign w:val="center"/>
          </w:tcPr>
          <w:p w14:paraId="167D0C05">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依据项目明细账、记账凭证和其他资料查证分析，项目 2024 年申请超长期特别国债 390 万元，实际到位 390 万元，资金到位率为100%。综上所述，该指标满分 2 分，得分 2 分。</w:t>
            </w:r>
          </w:p>
        </w:tc>
        <w:tc>
          <w:tcPr>
            <w:tcW w:w="1136" w:type="dxa"/>
            <w:tcBorders>
              <w:top w:val="single" w:color="auto" w:sz="4" w:space="0"/>
              <w:left w:val="single" w:color="000000" w:sz="4" w:space="0"/>
              <w:bottom w:val="single" w:color="auto" w:sz="4" w:space="0"/>
              <w:right w:val="single" w:color="000000" w:sz="4" w:space="0"/>
            </w:tcBorders>
            <w:shd w:val="clear" w:color="auto" w:fill="auto"/>
            <w:vAlign w:val="center"/>
          </w:tcPr>
          <w:p w14:paraId="6ACF773B">
            <w:pPr>
              <w:keepNext w:val="0"/>
              <w:keepLines w:val="0"/>
              <w:widowControl/>
              <w:suppressLineNumbers w:val="0"/>
              <w:jc w:val="both"/>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 xml:space="preserve">0 </w:t>
            </w:r>
          </w:p>
        </w:tc>
        <w:tc>
          <w:tcPr>
            <w:tcW w:w="1136" w:type="dxa"/>
            <w:tcBorders>
              <w:top w:val="single" w:color="auto" w:sz="4" w:space="0"/>
              <w:left w:val="single" w:color="000000" w:sz="4" w:space="0"/>
              <w:bottom w:val="single" w:color="auto" w:sz="4" w:space="0"/>
              <w:right w:val="single" w:color="000000" w:sz="4" w:space="0"/>
            </w:tcBorders>
            <w:shd w:val="clear" w:color="auto" w:fill="auto"/>
            <w:vAlign w:val="center"/>
          </w:tcPr>
          <w:p w14:paraId="20CFBE96">
            <w:pPr>
              <w:keepNext w:val="0"/>
              <w:keepLines w:val="0"/>
              <w:widowControl/>
              <w:suppressLineNumbers w:val="0"/>
              <w:jc w:val="both"/>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 xml:space="preserve">3 </w:t>
            </w:r>
          </w:p>
        </w:tc>
        <w:tc>
          <w:tcPr>
            <w:tcW w:w="1466" w:type="dxa"/>
            <w:tcBorders>
              <w:top w:val="single" w:color="auto" w:sz="4" w:space="0"/>
              <w:left w:val="single" w:color="000000" w:sz="4" w:space="0"/>
              <w:bottom w:val="single" w:color="auto" w:sz="4" w:space="0"/>
              <w:right w:val="single" w:color="000000" w:sz="4" w:space="0"/>
            </w:tcBorders>
            <w:shd w:val="clear" w:color="auto" w:fill="auto"/>
            <w:vAlign w:val="center"/>
          </w:tcPr>
          <w:p w14:paraId="55338BB8">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100.00%</w:t>
            </w:r>
          </w:p>
        </w:tc>
      </w:tr>
      <w:tr w14:paraId="34AA9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4" w:hRule="atLeast"/>
        </w:trPr>
        <w:tc>
          <w:tcPr>
            <w:tcW w:w="747" w:type="dxa"/>
            <w:tcBorders>
              <w:top w:val="single" w:color="auto" w:sz="4" w:space="0"/>
              <w:left w:val="single" w:color="auto" w:sz="4" w:space="0"/>
              <w:bottom w:val="single" w:color="auto" w:sz="4" w:space="0"/>
              <w:right w:val="single" w:color="000000" w:sz="4" w:space="0"/>
            </w:tcBorders>
            <w:shd w:val="clear" w:color="auto" w:fill="auto"/>
            <w:vAlign w:val="center"/>
          </w:tcPr>
          <w:p w14:paraId="436BE74A">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8</w:t>
            </w:r>
          </w:p>
        </w:tc>
        <w:tc>
          <w:tcPr>
            <w:tcW w:w="126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E0AFECA">
            <w:pPr>
              <w:jc w:val="center"/>
              <w:rPr>
                <w:rFonts w:hint="eastAsia" w:ascii="仿宋_GB2312" w:hAnsi="仿宋_GB2312" w:eastAsia="仿宋_GB2312" w:cs="仿宋_GB2312"/>
                <w:i w:val="0"/>
                <w:iCs w:val="0"/>
                <w:color w:val="000000"/>
                <w:sz w:val="22"/>
                <w:szCs w:val="22"/>
                <w:highlight w:val="none"/>
                <w:u w:val="none"/>
              </w:rPr>
            </w:pPr>
          </w:p>
        </w:tc>
        <w:tc>
          <w:tcPr>
            <w:tcW w:w="631" w:type="dxa"/>
            <w:vMerge w:val="continue"/>
            <w:tcBorders>
              <w:top w:val="single" w:color="auto" w:sz="4" w:space="0"/>
              <w:left w:val="single" w:color="000000" w:sz="4" w:space="0"/>
              <w:bottom w:val="single" w:color="auto" w:sz="4" w:space="0"/>
              <w:right w:val="single" w:color="000000" w:sz="4" w:space="0"/>
            </w:tcBorders>
            <w:shd w:val="clear" w:color="auto" w:fill="auto"/>
            <w:textDirection w:val="tbRlV"/>
            <w:vAlign w:val="center"/>
          </w:tcPr>
          <w:p w14:paraId="0C123D71">
            <w:pPr>
              <w:jc w:val="center"/>
              <w:rPr>
                <w:rFonts w:hint="eastAsia" w:ascii="仿宋_GB2312" w:hAnsi="仿宋_GB2312" w:eastAsia="仿宋_GB2312" w:cs="仿宋_GB2312"/>
                <w:i w:val="0"/>
                <w:iCs w:val="0"/>
                <w:color w:val="000000"/>
                <w:sz w:val="22"/>
                <w:szCs w:val="22"/>
                <w:highlight w:val="none"/>
                <w:u w:val="none"/>
              </w:rPr>
            </w:pPr>
          </w:p>
        </w:tc>
        <w:tc>
          <w:tcPr>
            <w:tcW w:w="1109" w:type="dxa"/>
            <w:tcBorders>
              <w:top w:val="single" w:color="auto" w:sz="4" w:space="0"/>
              <w:left w:val="single" w:color="000000" w:sz="4" w:space="0"/>
              <w:bottom w:val="single" w:color="auto" w:sz="4" w:space="0"/>
              <w:right w:val="single" w:color="000000" w:sz="4" w:space="0"/>
            </w:tcBorders>
            <w:shd w:val="clear" w:color="auto" w:fill="auto"/>
            <w:vAlign w:val="center"/>
          </w:tcPr>
          <w:p w14:paraId="072E4CF2">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预算执行率</w:t>
            </w:r>
          </w:p>
        </w:tc>
        <w:tc>
          <w:tcPr>
            <w:tcW w:w="885" w:type="dxa"/>
            <w:tcBorders>
              <w:top w:val="single" w:color="auto" w:sz="4" w:space="0"/>
              <w:left w:val="single" w:color="000000" w:sz="4" w:space="0"/>
              <w:bottom w:val="single" w:color="auto" w:sz="4" w:space="0"/>
              <w:right w:val="single" w:color="000000" w:sz="4" w:space="0"/>
            </w:tcBorders>
            <w:shd w:val="clear" w:color="auto" w:fill="auto"/>
            <w:vAlign w:val="center"/>
          </w:tcPr>
          <w:p w14:paraId="3474DABE">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3</w:t>
            </w:r>
          </w:p>
        </w:tc>
        <w:tc>
          <w:tcPr>
            <w:tcW w:w="1429" w:type="dxa"/>
            <w:tcBorders>
              <w:top w:val="single" w:color="auto" w:sz="4" w:space="0"/>
              <w:left w:val="single" w:color="000000" w:sz="4" w:space="0"/>
              <w:bottom w:val="single" w:color="auto" w:sz="4" w:space="0"/>
              <w:right w:val="single" w:color="000000" w:sz="4" w:space="0"/>
            </w:tcBorders>
            <w:shd w:val="clear" w:color="auto" w:fill="auto"/>
            <w:vAlign w:val="center"/>
          </w:tcPr>
          <w:p w14:paraId="48AC10DC">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项目预算资金是否按照计划执行，用以反映或考核项目预算执行情况。</w:t>
            </w:r>
          </w:p>
        </w:tc>
        <w:tc>
          <w:tcPr>
            <w:tcW w:w="1183" w:type="dxa"/>
            <w:tcBorders>
              <w:top w:val="single" w:color="auto" w:sz="4" w:space="0"/>
              <w:left w:val="single" w:color="000000" w:sz="4" w:space="0"/>
              <w:bottom w:val="single" w:color="auto" w:sz="4" w:space="0"/>
              <w:right w:val="single" w:color="000000" w:sz="4" w:space="0"/>
            </w:tcBorders>
            <w:shd w:val="clear" w:color="auto" w:fill="auto"/>
            <w:vAlign w:val="center"/>
          </w:tcPr>
          <w:p w14:paraId="36E549C5">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100%</w:t>
            </w:r>
          </w:p>
        </w:tc>
        <w:tc>
          <w:tcPr>
            <w:tcW w:w="1732" w:type="dxa"/>
            <w:tcBorders>
              <w:top w:val="single" w:color="auto" w:sz="4" w:space="0"/>
              <w:left w:val="single" w:color="000000" w:sz="4" w:space="0"/>
              <w:bottom w:val="single" w:color="auto" w:sz="4" w:space="0"/>
              <w:right w:val="single" w:color="000000" w:sz="4" w:space="0"/>
            </w:tcBorders>
            <w:shd w:val="clear" w:color="auto" w:fill="auto"/>
            <w:vAlign w:val="center"/>
          </w:tcPr>
          <w:p w14:paraId="6AC74761">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预算执行率=（实际支出资金/实际到位资金） × 100%。预算执行率达 100%得满分，执行率＜100%,得分=执行率*权重</w:t>
            </w:r>
          </w:p>
        </w:tc>
        <w:tc>
          <w:tcPr>
            <w:tcW w:w="1149" w:type="dxa"/>
            <w:tcBorders>
              <w:top w:val="single" w:color="auto" w:sz="4" w:space="0"/>
              <w:left w:val="single" w:color="000000" w:sz="4" w:space="0"/>
              <w:bottom w:val="single" w:color="auto" w:sz="4" w:space="0"/>
              <w:right w:val="single" w:color="000000" w:sz="4" w:space="0"/>
            </w:tcBorders>
            <w:shd w:val="clear" w:color="auto" w:fill="auto"/>
            <w:vAlign w:val="center"/>
          </w:tcPr>
          <w:p w14:paraId="1A300F21">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支付凭证、项目明细账</w:t>
            </w:r>
          </w:p>
        </w:tc>
        <w:tc>
          <w:tcPr>
            <w:tcW w:w="2085" w:type="dxa"/>
            <w:tcBorders>
              <w:top w:val="single" w:color="auto" w:sz="4" w:space="0"/>
              <w:left w:val="single" w:color="000000" w:sz="4" w:space="0"/>
              <w:bottom w:val="single" w:color="auto" w:sz="4" w:space="0"/>
              <w:right w:val="single" w:color="000000" w:sz="4" w:space="0"/>
            </w:tcBorders>
            <w:shd w:val="clear" w:color="auto" w:fill="auto"/>
            <w:vAlign w:val="center"/>
          </w:tcPr>
          <w:p w14:paraId="72C47184">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项目 2024 年实际到位资金 390 万元， 截至 2024 年 12 月 31 日，支出 390 万元，预算执行率为 100%。综上所述，该指标满分 3 分，得分 3 分。</w:t>
            </w:r>
          </w:p>
        </w:tc>
        <w:tc>
          <w:tcPr>
            <w:tcW w:w="1136" w:type="dxa"/>
            <w:tcBorders>
              <w:top w:val="single" w:color="auto" w:sz="4" w:space="0"/>
              <w:left w:val="single" w:color="000000" w:sz="4" w:space="0"/>
              <w:bottom w:val="single" w:color="auto" w:sz="4" w:space="0"/>
              <w:right w:val="single" w:color="000000" w:sz="4" w:space="0"/>
            </w:tcBorders>
            <w:shd w:val="clear" w:color="auto" w:fill="auto"/>
            <w:vAlign w:val="center"/>
          </w:tcPr>
          <w:p w14:paraId="4A2FE86D">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0</w:t>
            </w:r>
          </w:p>
        </w:tc>
        <w:tc>
          <w:tcPr>
            <w:tcW w:w="1136" w:type="dxa"/>
            <w:tcBorders>
              <w:top w:val="single" w:color="auto" w:sz="4" w:space="0"/>
              <w:left w:val="single" w:color="000000" w:sz="4" w:space="0"/>
              <w:bottom w:val="single" w:color="auto" w:sz="4" w:space="0"/>
              <w:right w:val="single" w:color="000000" w:sz="4" w:space="0"/>
            </w:tcBorders>
            <w:shd w:val="clear" w:color="auto" w:fill="auto"/>
            <w:vAlign w:val="center"/>
          </w:tcPr>
          <w:p w14:paraId="2DE8BEED">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3</w:t>
            </w:r>
          </w:p>
        </w:tc>
        <w:tc>
          <w:tcPr>
            <w:tcW w:w="1466" w:type="dxa"/>
            <w:tcBorders>
              <w:top w:val="single" w:color="auto" w:sz="4" w:space="0"/>
              <w:left w:val="single" w:color="000000" w:sz="4" w:space="0"/>
              <w:bottom w:val="single" w:color="auto" w:sz="4" w:space="0"/>
              <w:right w:val="single" w:color="auto" w:sz="4" w:space="0"/>
            </w:tcBorders>
            <w:shd w:val="clear" w:color="auto" w:fill="auto"/>
            <w:vAlign w:val="center"/>
          </w:tcPr>
          <w:p w14:paraId="502BA695">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100.00%</w:t>
            </w:r>
          </w:p>
        </w:tc>
      </w:tr>
      <w:tr w14:paraId="05457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6" w:hRule="atLeast"/>
        </w:trPr>
        <w:tc>
          <w:tcPr>
            <w:tcW w:w="747"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38F33368">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9</w:t>
            </w:r>
          </w:p>
        </w:tc>
        <w:tc>
          <w:tcPr>
            <w:tcW w:w="126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AB0C383">
            <w:pPr>
              <w:jc w:val="center"/>
              <w:rPr>
                <w:rFonts w:hint="eastAsia" w:ascii="仿宋_GB2312" w:hAnsi="仿宋_GB2312" w:eastAsia="仿宋_GB2312" w:cs="仿宋_GB2312"/>
                <w:i w:val="0"/>
                <w:iCs w:val="0"/>
                <w:color w:val="000000"/>
                <w:sz w:val="22"/>
                <w:szCs w:val="22"/>
                <w:highlight w:val="none"/>
                <w:u w:val="none"/>
              </w:rPr>
            </w:pPr>
          </w:p>
        </w:tc>
        <w:tc>
          <w:tcPr>
            <w:tcW w:w="631" w:type="dxa"/>
            <w:vMerge w:val="continue"/>
            <w:tcBorders>
              <w:top w:val="single" w:color="auto" w:sz="4" w:space="0"/>
              <w:left w:val="single" w:color="000000" w:sz="4" w:space="0"/>
              <w:bottom w:val="single" w:color="auto" w:sz="4" w:space="0"/>
              <w:right w:val="single" w:color="000000" w:sz="4" w:space="0"/>
            </w:tcBorders>
            <w:shd w:val="clear" w:color="auto" w:fill="auto"/>
            <w:textDirection w:val="tbRlV"/>
            <w:vAlign w:val="center"/>
          </w:tcPr>
          <w:p w14:paraId="4FE74BA5">
            <w:pPr>
              <w:jc w:val="center"/>
              <w:rPr>
                <w:rFonts w:hint="eastAsia" w:ascii="仿宋_GB2312" w:hAnsi="仿宋_GB2312" w:eastAsia="仿宋_GB2312" w:cs="仿宋_GB2312"/>
                <w:i w:val="0"/>
                <w:iCs w:val="0"/>
                <w:color w:val="000000"/>
                <w:sz w:val="22"/>
                <w:szCs w:val="22"/>
                <w:highlight w:val="none"/>
                <w:u w:val="none"/>
              </w:rPr>
            </w:pPr>
          </w:p>
        </w:tc>
        <w:tc>
          <w:tcPr>
            <w:tcW w:w="110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220B74EA">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资金使用合规性</w:t>
            </w:r>
          </w:p>
        </w:tc>
        <w:tc>
          <w:tcPr>
            <w:tcW w:w="885"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70138798">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3</w:t>
            </w:r>
          </w:p>
        </w:tc>
        <w:tc>
          <w:tcPr>
            <w:tcW w:w="142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335911E4">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项目资金使用是否符合相关的财务管理制度规定，用以反映和考核项目资金的规范运行情况。</w:t>
            </w:r>
          </w:p>
        </w:tc>
        <w:tc>
          <w:tcPr>
            <w:tcW w:w="1183"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1BDEE107">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合规</w:t>
            </w:r>
          </w:p>
        </w:tc>
        <w:tc>
          <w:tcPr>
            <w:tcW w:w="1732"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44D9D930">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评价要点：①是否符合国家财经法规和财务管理制度以及有关专项资金管理办法的规定；②资金的拨付是否有完整的审批程序和手续；③是否符合项目预算批复或合同规定的用途；④是否存在截留、挤占、挪用、虚列支出等情况。</w:t>
            </w:r>
          </w:p>
        </w:tc>
        <w:tc>
          <w:tcPr>
            <w:tcW w:w="114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091A1DCB">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支付凭证、项目明细账</w:t>
            </w:r>
          </w:p>
        </w:tc>
        <w:tc>
          <w:tcPr>
            <w:tcW w:w="2085"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2626DF5B">
            <w:pPr>
              <w:keepNext w:val="0"/>
              <w:keepLines w:val="0"/>
              <w:widowControl/>
              <w:suppressLineNumbers w:val="0"/>
              <w:jc w:val="left"/>
              <w:textAlignment w:val="center"/>
              <w:rPr>
                <w:rFonts w:hint="default" w:ascii="仿宋_GB2312" w:hAnsi="仿宋_GB2312" w:eastAsia="仿宋_GB2312" w:cs="仿宋_GB2312"/>
                <w:i w:val="0"/>
                <w:iCs w:val="0"/>
                <w:color w:val="000000"/>
                <w:sz w:val="22"/>
                <w:szCs w:val="22"/>
                <w:highlight w:val="none"/>
                <w:u w:val="none"/>
                <w:lang w:val="en-US"/>
              </w:rPr>
            </w:pPr>
            <w:r>
              <w:rPr>
                <w:rFonts w:hint="eastAsia"/>
                <w:color w:val="000000"/>
                <w:kern w:val="0"/>
                <w:sz w:val="22"/>
                <w:szCs w:val="22"/>
                <w:highlight w:val="none"/>
                <w:u w:val="none"/>
                <w:lang w:bidi="ar"/>
              </w:rPr>
              <w:t>经核查，项目资金支付符合财经法规和专项资金管理办法；资金的拨付有完整的审批程序和手续；资金支持方向符合项目预算批复的用途；不存在截留、挤占、挪用、虚列支出等情况</w:t>
            </w:r>
            <w:r>
              <w:rPr>
                <w:rFonts w:hint="eastAsia" w:ascii="仿宋_GB2312" w:hAnsi="仿宋_GB2312" w:eastAsia="仿宋_GB2312" w:cs="仿宋_GB2312"/>
                <w:i w:val="0"/>
                <w:iCs w:val="0"/>
                <w:color w:val="000000"/>
                <w:kern w:val="0"/>
                <w:sz w:val="22"/>
                <w:szCs w:val="22"/>
                <w:highlight w:val="none"/>
                <w:u w:val="none"/>
                <w:lang w:val="en-US" w:eastAsia="zh-CN" w:bidi="ar"/>
              </w:rPr>
              <w:t xml:space="preserve">综上所述，该指标满分 3 分，得分 </w:t>
            </w:r>
            <w:r>
              <w:rPr>
                <w:rFonts w:hint="eastAsia" w:cs="仿宋_GB2312"/>
                <w:i w:val="0"/>
                <w:iCs w:val="0"/>
                <w:color w:val="000000"/>
                <w:kern w:val="0"/>
                <w:sz w:val="22"/>
                <w:szCs w:val="22"/>
                <w:highlight w:val="none"/>
                <w:u w:val="none"/>
                <w:lang w:val="en-US" w:eastAsia="zh-CN" w:bidi="ar"/>
              </w:rPr>
              <w:t>3</w:t>
            </w:r>
            <w:r>
              <w:rPr>
                <w:rFonts w:hint="eastAsia" w:ascii="仿宋_GB2312" w:hAnsi="仿宋_GB2312" w:eastAsia="仿宋_GB2312" w:cs="仿宋_GB2312"/>
                <w:i w:val="0"/>
                <w:iCs w:val="0"/>
                <w:color w:val="000000"/>
                <w:kern w:val="0"/>
                <w:sz w:val="22"/>
                <w:szCs w:val="22"/>
                <w:highlight w:val="none"/>
                <w:u w:val="none"/>
                <w:lang w:val="en-US" w:eastAsia="zh-CN" w:bidi="ar"/>
              </w:rPr>
              <w:t xml:space="preserve"> 分。</w:t>
            </w:r>
          </w:p>
        </w:tc>
        <w:tc>
          <w:tcPr>
            <w:tcW w:w="1136"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5BD1525E">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cs="仿宋_GB2312"/>
                <w:i w:val="0"/>
                <w:iCs w:val="0"/>
                <w:color w:val="000000"/>
                <w:kern w:val="0"/>
                <w:sz w:val="22"/>
                <w:szCs w:val="22"/>
                <w:highlight w:val="none"/>
                <w:u w:val="none"/>
                <w:lang w:val="en-US" w:eastAsia="zh-CN" w:bidi="ar"/>
              </w:rPr>
              <w:t>0</w:t>
            </w:r>
          </w:p>
        </w:tc>
        <w:tc>
          <w:tcPr>
            <w:tcW w:w="1136"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71C8373D">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cs="仿宋_GB2312"/>
                <w:i w:val="0"/>
                <w:iCs w:val="0"/>
                <w:color w:val="000000"/>
                <w:kern w:val="0"/>
                <w:sz w:val="22"/>
                <w:szCs w:val="22"/>
                <w:highlight w:val="none"/>
                <w:u w:val="none"/>
                <w:lang w:val="en-US" w:eastAsia="zh-CN" w:bidi="ar"/>
              </w:rPr>
              <w:t>3</w:t>
            </w:r>
          </w:p>
        </w:tc>
        <w:tc>
          <w:tcPr>
            <w:tcW w:w="1466"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1935E3E4">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cs="仿宋_GB2312"/>
                <w:i w:val="0"/>
                <w:iCs w:val="0"/>
                <w:color w:val="000000"/>
                <w:kern w:val="0"/>
                <w:sz w:val="22"/>
                <w:szCs w:val="22"/>
                <w:highlight w:val="none"/>
                <w:u w:val="none"/>
                <w:lang w:val="en-US" w:eastAsia="zh-CN" w:bidi="ar"/>
              </w:rPr>
              <w:t>100.00</w:t>
            </w:r>
            <w:r>
              <w:rPr>
                <w:rFonts w:hint="eastAsia" w:ascii="仿宋_GB2312" w:hAnsi="仿宋_GB2312" w:eastAsia="仿宋_GB2312" w:cs="仿宋_GB2312"/>
                <w:i w:val="0"/>
                <w:iCs w:val="0"/>
                <w:color w:val="000000"/>
                <w:kern w:val="0"/>
                <w:sz w:val="22"/>
                <w:szCs w:val="22"/>
                <w:highlight w:val="none"/>
                <w:u w:val="none"/>
                <w:lang w:val="en-US" w:eastAsia="zh-CN" w:bidi="ar"/>
              </w:rPr>
              <w:t>%</w:t>
            </w:r>
          </w:p>
        </w:tc>
      </w:tr>
      <w:tr w14:paraId="6440C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3" w:hRule="atLeast"/>
        </w:trPr>
        <w:tc>
          <w:tcPr>
            <w:tcW w:w="747"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9651265">
            <w:pPr>
              <w:jc w:val="center"/>
              <w:rPr>
                <w:rFonts w:hint="eastAsia" w:ascii="仿宋_GB2312" w:hAnsi="仿宋_GB2312" w:eastAsia="仿宋_GB2312" w:cs="仿宋_GB2312"/>
                <w:i w:val="0"/>
                <w:iCs w:val="0"/>
                <w:color w:val="000000"/>
                <w:sz w:val="22"/>
                <w:szCs w:val="22"/>
                <w:highlight w:val="none"/>
                <w:u w:val="none"/>
              </w:rPr>
            </w:pPr>
          </w:p>
        </w:tc>
        <w:tc>
          <w:tcPr>
            <w:tcW w:w="126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79A92D8">
            <w:pPr>
              <w:jc w:val="center"/>
              <w:rPr>
                <w:rFonts w:hint="eastAsia" w:ascii="仿宋_GB2312" w:hAnsi="仿宋_GB2312" w:eastAsia="仿宋_GB2312" w:cs="仿宋_GB2312"/>
                <w:i w:val="0"/>
                <w:iCs w:val="0"/>
                <w:color w:val="000000"/>
                <w:sz w:val="22"/>
                <w:szCs w:val="22"/>
                <w:highlight w:val="none"/>
                <w:u w:val="none"/>
              </w:rPr>
            </w:pPr>
          </w:p>
        </w:tc>
        <w:tc>
          <w:tcPr>
            <w:tcW w:w="631" w:type="dxa"/>
            <w:vMerge w:val="continue"/>
            <w:tcBorders>
              <w:top w:val="single" w:color="auto" w:sz="4" w:space="0"/>
              <w:left w:val="single" w:color="000000" w:sz="4" w:space="0"/>
              <w:bottom w:val="single" w:color="auto" w:sz="4" w:space="0"/>
              <w:right w:val="single" w:color="000000" w:sz="4" w:space="0"/>
            </w:tcBorders>
            <w:shd w:val="clear" w:color="auto" w:fill="auto"/>
            <w:textDirection w:val="tbRlV"/>
            <w:vAlign w:val="center"/>
          </w:tcPr>
          <w:p w14:paraId="68F16149">
            <w:pPr>
              <w:jc w:val="center"/>
              <w:rPr>
                <w:rFonts w:hint="eastAsia" w:ascii="仿宋_GB2312" w:hAnsi="仿宋_GB2312" w:eastAsia="仿宋_GB2312" w:cs="仿宋_GB2312"/>
                <w:i w:val="0"/>
                <w:iCs w:val="0"/>
                <w:color w:val="000000"/>
                <w:sz w:val="22"/>
                <w:szCs w:val="22"/>
                <w:highlight w:val="none"/>
                <w:u w:val="none"/>
              </w:rPr>
            </w:pPr>
          </w:p>
        </w:tc>
        <w:tc>
          <w:tcPr>
            <w:tcW w:w="110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683D7BC">
            <w:pPr>
              <w:jc w:val="center"/>
              <w:rPr>
                <w:rFonts w:hint="eastAsia" w:ascii="仿宋_GB2312" w:hAnsi="仿宋_GB2312" w:eastAsia="仿宋_GB2312" w:cs="仿宋_GB2312"/>
                <w:i w:val="0"/>
                <w:iCs w:val="0"/>
                <w:color w:val="000000"/>
                <w:sz w:val="22"/>
                <w:szCs w:val="22"/>
                <w:highlight w:val="none"/>
                <w:u w:val="none"/>
              </w:rPr>
            </w:pPr>
          </w:p>
        </w:tc>
        <w:tc>
          <w:tcPr>
            <w:tcW w:w="88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0C3CC0A">
            <w:pPr>
              <w:jc w:val="center"/>
              <w:rPr>
                <w:rFonts w:hint="eastAsia" w:ascii="仿宋_GB2312" w:hAnsi="仿宋_GB2312" w:eastAsia="仿宋_GB2312" w:cs="仿宋_GB2312"/>
                <w:i w:val="0"/>
                <w:iCs w:val="0"/>
                <w:color w:val="000000"/>
                <w:sz w:val="22"/>
                <w:szCs w:val="22"/>
                <w:highlight w:val="none"/>
                <w:u w:val="none"/>
              </w:rPr>
            </w:pPr>
          </w:p>
        </w:tc>
        <w:tc>
          <w:tcPr>
            <w:tcW w:w="142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E839363">
            <w:pPr>
              <w:jc w:val="left"/>
              <w:rPr>
                <w:rFonts w:hint="eastAsia" w:ascii="仿宋_GB2312" w:hAnsi="仿宋_GB2312" w:eastAsia="仿宋_GB2312" w:cs="仿宋_GB2312"/>
                <w:i w:val="0"/>
                <w:iCs w:val="0"/>
                <w:color w:val="000000"/>
                <w:sz w:val="22"/>
                <w:szCs w:val="22"/>
                <w:highlight w:val="none"/>
                <w:u w:val="none"/>
              </w:rPr>
            </w:pPr>
          </w:p>
        </w:tc>
        <w:tc>
          <w:tcPr>
            <w:tcW w:w="118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20DABC2">
            <w:pPr>
              <w:jc w:val="center"/>
              <w:rPr>
                <w:rFonts w:hint="eastAsia" w:ascii="仿宋_GB2312" w:hAnsi="仿宋_GB2312" w:eastAsia="仿宋_GB2312" w:cs="仿宋_GB2312"/>
                <w:i w:val="0"/>
                <w:iCs w:val="0"/>
                <w:color w:val="000000"/>
                <w:sz w:val="22"/>
                <w:szCs w:val="22"/>
                <w:highlight w:val="none"/>
                <w:u w:val="none"/>
              </w:rPr>
            </w:pPr>
          </w:p>
        </w:tc>
        <w:tc>
          <w:tcPr>
            <w:tcW w:w="173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C966C8E">
            <w:pPr>
              <w:jc w:val="center"/>
              <w:rPr>
                <w:rFonts w:hint="eastAsia" w:ascii="仿宋_GB2312" w:hAnsi="仿宋_GB2312" w:eastAsia="仿宋_GB2312" w:cs="仿宋_GB2312"/>
                <w:i w:val="0"/>
                <w:iCs w:val="0"/>
                <w:color w:val="000000"/>
                <w:sz w:val="22"/>
                <w:szCs w:val="22"/>
                <w:highlight w:val="none"/>
                <w:u w:val="none"/>
              </w:rPr>
            </w:pPr>
          </w:p>
        </w:tc>
        <w:tc>
          <w:tcPr>
            <w:tcW w:w="114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791B1C4">
            <w:pPr>
              <w:jc w:val="center"/>
              <w:rPr>
                <w:rFonts w:hint="eastAsia" w:ascii="仿宋_GB2312" w:hAnsi="仿宋_GB2312" w:eastAsia="仿宋_GB2312" w:cs="仿宋_GB2312"/>
                <w:i w:val="0"/>
                <w:iCs w:val="0"/>
                <w:color w:val="000000"/>
                <w:sz w:val="22"/>
                <w:szCs w:val="22"/>
                <w:highlight w:val="none"/>
                <w:u w:val="none"/>
              </w:rPr>
            </w:pPr>
          </w:p>
        </w:tc>
        <w:tc>
          <w:tcPr>
            <w:tcW w:w="208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B8292D6">
            <w:pPr>
              <w:jc w:val="left"/>
              <w:rPr>
                <w:rFonts w:hint="eastAsia" w:ascii="仿宋_GB2312" w:hAnsi="仿宋_GB2312" w:eastAsia="仿宋_GB2312" w:cs="仿宋_GB2312"/>
                <w:i w:val="0"/>
                <w:iCs w:val="0"/>
                <w:color w:val="000000"/>
                <w:sz w:val="22"/>
                <w:szCs w:val="22"/>
                <w:highlight w:val="none"/>
                <w:u w:val="none"/>
              </w:rPr>
            </w:pPr>
          </w:p>
        </w:tc>
        <w:tc>
          <w:tcPr>
            <w:tcW w:w="1136"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724F983">
            <w:pPr>
              <w:jc w:val="center"/>
              <w:rPr>
                <w:rFonts w:hint="eastAsia" w:ascii="仿宋_GB2312" w:hAnsi="仿宋_GB2312" w:eastAsia="仿宋_GB2312" w:cs="仿宋_GB2312"/>
                <w:i w:val="0"/>
                <w:iCs w:val="0"/>
                <w:color w:val="000000"/>
                <w:sz w:val="22"/>
                <w:szCs w:val="22"/>
                <w:highlight w:val="none"/>
                <w:u w:val="none"/>
              </w:rPr>
            </w:pPr>
          </w:p>
        </w:tc>
        <w:tc>
          <w:tcPr>
            <w:tcW w:w="1136"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8E2AFBB">
            <w:pPr>
              <w:jc w:val="center"/>
              <w:rPr>
                <w:rFonts w:hint="eastAsia" w:ascii="仿宋_GB2312" w:hAnsi="仿宋_GB2312" w:eastAsia="仿宋_GB2312" w:cs="仿宋_GB2312"/>
                <w:i w:val="0"/>
                <w:iCs w:val="0"/>
                <w:color w:val="000000"/>
                <w:sz w:val="22"/>
                <w:szCs w:val="22"/>
                <w:highlight w:val="none"/>
                <w:u w:val="none"/>
              </w:rPr>
            </w:pPr>
          </w:p>
        </w:tc>
        <w:tc>
          <w:tcPr>
            <w:tcW w:w="1466"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278D504">
            <w:pPr>
              <w:jc w:val="center"/>
              <w:rPr>
                <w:rFonts w:hint="eastAsia" w:ascii="仿宋_GB2312" w:hAnsi="仿宋_GB2312" w:eastAsia="仿宋_GB2312" w:cs="仿宋_GB2312"/>
                <w:i w:val="0"/>
                <w:iCs w:val="0"/>
                <w:color w:val="000000"/>
                <w:sz w:val="22"/>
                <w:szCs w:val="22"/>
                <w:highlight w:val="none"/>
                <w:u w:val="none"/>
              </w:rPr>
            </w:pPr>
          </w:p>
        </w:tc>
      </w:tr>
      <w:tr w14:paraId="52C5B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9" w:hRule="atLeast"/>
        </w:trPr>
        <w:tc>
          <w:tcPr>
            <w:tcW w:w="747" w:type="dxa"/>
            <w:tcBorders>
              <w:top w:val="single" w:color="auto" w:sz="4" w:space="0"/>
              <w:left w:val="single" w:color="auto" w:sz="4" w:space="0"/>
              <w:bottom w:val="single" w:color="auto" w:sz="4" w:space="0"/>
              <w:right w:val="single" w:color="000000" w:sz="4" w:space="0"/>
            </w:tcBorders>
            <w:shd w:val="clear" w:color="auto" w:fill="auto"/>
            <w:vAlign w:val="center"/>
          </w:tcPr>
          <w:p w14:paraId="0425EAB5">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10</w:t>
            </w:r>
          </w:p>
        </w:tc>
        <w:tc>
          <w:tcPr>
            <w:tcW w:w="126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D0AFF1A">
            <w:pPr>
              <w:jc w:val="center"/>
              <w:rPr>
                <w:rFonts w:hint="eastAsia" w:ascii="仿宋_GB2312" w:hAnsi="仿宋_GB2312" w:eastAsia="仿宋_GB2312" w:cs="仿宋_GB2312"/>
                <w:i w:val="0"/>
                <w:iCs w:val="0"/>
                <w:color w:val="000000"/>
                <w:sz w:val="22"/>
                <w:szCs w:val="22"/>
                <w:highlight w:val="none"/>
                <w:u w:val="none"/>
              </w:rPr>
            </w:pPr>
          </w:p>
        </w:tc>
        <w:tc>
          <w:tcPr>
            <w:tcW w:w="631" w:type="dxa"/>
            <w:vMerge w:val="restart"/>
            <w:tcBorders>
              <w:top w:val="single" w:color="auto" w:sz="4" w:space="0"/>
              <w:left w:val="single" w:color="000000" w:sz="4" w:space="0"/>
              <w:bottom w:val="single" w:color="auto" w:sz="4" w:space="0"/>
              <w:right w:val="single" w:color="000000" w:sz="4" w:space="0"/>
            </w:tcBorders>
            <w:shd w:val="clear" w:color="auto" w:fill="auto"/>
            <w:textDirection w:val="tbRlV"/>
            <w:vAlign w:val="center"/>
          </w:tcPr>
          <w:p w14:paraId="4D32CFCA">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组织实施</w:t>
            </w:r>
          </w:p>
        </w:tc>
        <w:tc>
          <w:tcPr>
            <w:tcW w:w="1109" w:type="dxa"/>
            <w:tcBorders>
              <w:top w:val="single" w:color="auto" w:sz="4" w:space="0"/>
              <w:left w:val="single" w:color="000000" w:sz="4" w:space="0"/>
              <w:bottom w:val="single" w:color="auto" w:sz="4" w:space="0"/>
              <w:right w:val="single" w:color="000000" w:sz="4" w:space="0"/>
            </w:tcBorders>
            <w:shd w:val="clear" w:color="auto" w:fill="auto"/>
            <w:vAlign w:val="center"/>
          </w:tcPr>
          <w:p w14:paraId="0CBCBB45">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管理制度健全性</w:t>
            </w:r>
          </w:p>
        </w:tc>
        <w:tc>
          <w:tcPr>
            <w:tcW w:w="885" w:type="dxa"/>
            <w:tcBorders>
              <w:top w:val="single" w:color="auto" w:sz="4" w:space="0"/>
              <w:left w:val="single" w:color="000000" w:sz="4" w:space="0"/>
              <w:bottom w:val="single" w:color="auto" w:sz="4" w:space="0"/>
              <w:right w:val="single" w:color="000000" w:sz="4" w:space="0"/>
            </w:tcBorders>
            <w:shd w:val="clear" w:color="auto" w:fill="auto"/>
            <w:vAlign w:val="center"/>
          </w:tcPr>
          <w:p w14:paraId="0B246256">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2</w:t>
            </w:r>
          </w:p>
        </w:tc>
        <w:tc>
          <w:tcPr>
            <w:tcW w:w="1429" w:type="dxa"/>
            <w:tcBorders>
              <w:top w:val="single" w:color="auto" w:sz="4" w:space="0"/>
              <w:left w:val="single" w:color="000000" w:sz="4" w:space="0"/>
              <w:bottom w:val="single" w:color="auto" w:sz="4" w:space="0"/>
              <w:right w:val="single" w:color="000000" w:sz="4" w:space="0"/>
            </w:tcBorders>
            <w:shd w:val="clear" w:color="auto" w:fill="auto"/>
            <w:vAlign w:val="center"/>
          </w:tcPr>
          <w:p w14:paraId="744E81E2">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项目实施单位的财务和业务管理制度是否健全，用以反映和考核财务和业务管理制度对项目顺利实施的保障情况。</w:t>
            </w:r>
          </w:p>
        </w:tc>
        <w:tc>
          <w:tcPr>
            <w:tcW w:w="1183" w:type="dxa"/>
            <w:tcBorders>
              <w:top w:val="single" w:color="auto" w:sz="4" w:space="0"/>
              <w:left w:val="single" w:color="000000" w:sz="4" w:space="0"/>
              <w:bottom w:val="single" w:color="auto" w:sz="4" w:space="0"/>
              <w:right w:val="single" w:color="000000" w:sz="4" w:space="0"/>
            </w:tcBorders>
            <w:shd w:val="clear" w:color="auto" w:fill="auto"/>
            <w:vAlign w:val="center"/>
          </w:tcPr>
          <w:p w14:paraId="38EFB35A">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健全</w:t>
            </w:r>
          </w:p>
        </w:tc>
        <w:tc>
          <w:tcPr>
            <w:tcW w:w="1732" w:type="dxa"/>
            <w:tcBorders>
              <w:top w:val="single" w:color="auto" w:sz="4" w:space="0"/>
              <w:left w:val="single" w:color="000000" w:sz="4" w:space="0"/>
              <w:bottom w:val="single" w:color="auto" w:sz="4" w:space="0"/>
              <w:right w:val="single" w:color="000000" w:sz="4" w:space="0"/>
            </w:tcBorders>
            <w:shd w:val="clear" w:color="auto" w:fill="auto"/>
            <w:vAlign w:val="center"/>
          </w:tcPr>
          <w:p w14:paraId="13BD45A2">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评价要点：①是否已制定或具有相应的财务和业务管理制度；②财务和业务管理制度是否合法、合规、完整。</w:t>
            </w:r>
          </w:p>
        </w:tc>
        <w:tc>
          <w:tcPr>
            <w:tcW w:w="1149" w:type="dxa"/>
            <w:tcBorders>
              <w:top w:val="single" w:color="auto" w:sz="4" w:space="0"/>
              <w:left w:val="single" w:color="000000" w:sz="4" w:space="0"/>
              <w:bottom w:val="single" w:color="auto" w:sz="4" w:space="0"/>
              <w:right w:val="single" w:color="000000" w:sz="4" w:space="0"/>
            </w:tcBorders>
            <w:shd w:val="clear" w:color="auto" w:fill="auto"/>
            <w:vAlign w:val="center"/>
          </w:tcPr>
          <w:p w14:paraId="63A8D56F">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制度汇编、现场踏勘</w:t>
            </w:r>
          </w:p>
        </w:tc>
        <w:tc>
          <w:tcPr>
            <w:tcW w:w="2085" w:type="dxa"/>
            <w:tcBorders>
              <w:top w:val="single" w:color="auto" w:sz="4" w:space="0"/>
              <w:left w:val="single" w:color="000000" w:sz="4" w:space="0"/>
              <w:bottom w:val="single" w:color="auto" w:sz="4" w:space="0"/>
              <w:right w:val="single" w:color="000000" w:sz="4" w:space="0"/>
            </w:tcBorders>
            <w:shd w:val="clear" w:color="auto" w:fill="auto"/>
            <w:vAlign w:val="center"/>
          </w:tcPr>
          <w:p w14:paraId="089DCB0E">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经核查，克拉玛依区住房和城乡建设局已制定相应的财务和业务管理制度，由于高层住宅换电梯目前尚无统一的指导性政策，制定了《克拉玛依区老旧住宅电梯更新实施方案》《电梯更新政策解释》；财务和业务管理制度合法、合规、完整。综上所述，该指标满分 3 分，得分 3 分。</w:t>
            </w:r>
          </w:p>
        </w:tc>
        <w:tc>
          <w:tcPr>
            <w:tcW w:w="1136" w:type="dxa"/>
            <w:tcBorders>
              <w:top w:val="single" w:color="auto" w:sz="4" w:space="0"/>
              <w:left w:val="single" w:color="000000" w:sz="4" w:space="0"/>
              <w:bottom w:val="single" w:color="auto" w:sz="4" w:space="0"/>
              <w:right w:val="single" w:color="000000" w:sz="4" w:space="0"/>
            </w:tcBorders>
            <w:shd w:val="clear" w:color="auto" w:fill="auto"/>
            <w:vAlign w:val="center"/>
          </w:tcPr>
          <w:p w14:paraId="4CB1598E">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0</w:t>
            </w:r>
          </w:p>
        </w:tc>
        <w:tc>
          <w:tcPr>
            <w:tcW w:w="1136" w:type="dxa"/>
            <w:tcBorders>
              <w:top w:val="single" w:color="auto" w:sz="4" w:space="0"/>
              <w:left w:val="single" w:color="000000" w:sz="4" w:space="0"/>
              <w:bottom w:val="single" w:color="auto" w:sz="4" w:space="0"/>
              <w:right w:val="single" w:color="000000" w:sz="4" w:space="0"/>
            </w:tcBorders>
            <w:shd w:val="clear" w:color="auto" w:fill="auto"/>
            <w:vAlign w:val="center"/>
          </w:tcPr>
          <w:p w14:paraId="4D991DC9">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2</w:t>
            </w:r>
          </w:p>
        </w:tc>
        <w:tc>
          <w:tcPr>
            <w:tcW w:w="1466" w:type="dxa"/>
            <w:tcBorders>
              <w:top w:val="single" w:color="auto" w:sz="4" w:space="0"/>
              <w:left w:val="single" w:color="000000" w:sz="4" w:space="0"/>
              <w:bottom w:val="single" w:color="auto" w:sz="4" w:space="0"/>
              <w:right w:val="single" w:color="auto" w:sz="4" w:space="0"/>
            </w:tcBorders>
            <w:shd w:val="clear" w:color="auto" w:fill="auto"/>
            <w:vAlign w:val="center"/>
          </w:tcPr>
          <w:p w14:paraId="14E66D1D">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100.00%</w:t>
            </w:r>
          </w:p>
        </w:tc>
      </w:tr>
      <w:tr w14:paraId="445BE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3" w:hRule="atLeast"/>
        </w:trPr>
        <w:tc>
          <w:tcPr>
            <w:tcW w:w="747"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4D0971C5">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11</w:t>
            </w:r>
          </w:p>
        </w:tc>
        <w:tc>
          <w:tcPr>
            <w:tcW w:w="126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A6026AF">
            <w:pPr>
              <w:jc w:val="center"/>
              <w:rPr>
                <w:rFonts w:hint="eastAsia" w:ascii="仿宋_GB2312" w:hAnsi="仿宋_GB2312" w:eastAsia="仿宋_GB2312" w:cs="仿宋_GB2312"/>
                <w:i w:val="0"/>
                <w:iCs w:val="0"/>
                <w:color w:val="000000"/>
                <w:sz w:val="22"/>
                <w:szCs w:val="22"/>
                <w:highlight w:val="none"/>
                <w:u w:val="none"/>
              </w:rPr>
            </w:pPr>
          </w:p>
        </w:tc>
        <w:tc>
          <w:tcPr>
            <w:tcW w:w="631" w:type="dxa"/>
            <w:vMerge w:val="continue"/>
            <w:tcBorders>
              <w:top w:val="single" w:color="auto" w:sz="4" w:space="0"/>
              <w:left w:val="single" w:color="000000" w:sz="4" w:space="0"/>
              <w:bottom w:val="single" w:color="auto" w:sz="4" w:space="0"/>
              <w:right w:val="single" w:color="000000" w:sz="4" w:space="0"/>
            </w:tcBorders>
            <w:shd w:val="clear" w:color="auto" w:fill="auto"/>
            <w:textDirection w:val="tbRlV"/>
            <w:vAlign w:val="center"/>
          </w:tcPr>
          <w:p w14:paraId="094E2A8E">
            <w:pPr>
              <w:jc w:val="center"/>
              <w:rPr>
                <w:rFonts w:hint="eastAsia" w:ascii="仿宋_GB2312" w:hAnsi="仿宋_GB2312" w:eastAsia="仿宋_GB2312" w:cs="仿宋_GB2312"/>
                <w:i w:val="0"/>
                <w:iCs w:val="0"/>
                <w:color w:val="000000"/>
                <w:sz w:val="22"/>
                <w:szCs w:val="22"/>
                <w:highlight w:val="none"/>
                <w:u w:val="none"/>
              </w:rPr>
            </w:pPr>
          </w:p>
        </w:tc>
        <w:tc>
          <w:tcPr>
            <w:tcW w:w="110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00C5D8BE">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bookmarkStart w:id="221" w:name="OLE_LINK1"/>
            <w:r>
              <w:rPr>
                <w:rFonts w:hint="eastAsia" w:ascii="仿宋_GB2312" w:hAnsi="仿宋_GB2312" w:eastAsia="仿宋_GB2312" w:cs="仿宋_GB2312"/>
                <w:i w:val="0"/>
                <w:iCs w:val="0"/>
                <w:color w:val="000000"/>
                <w:kern w:val="0"/>
                <w:sz w:val="22"/>
                <w:szCs w:val="22"/>
                <w:highlight w:val="none"/>
                <w:u w:val="none"/>
                <w:lang w:val="en-US" w:eastAsia="zh-CN" w:bidi="ar"/>
              </w:rPr>
              <w:t>制度执行有效性</w:t>
            </w:r>
            <w:bookmarkEnd w:id="221"/>
          </w:p>
        </w:tc>
        <w:tc>
          <w:tcPr>
            <w:tcW w:w="885"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7C7F0845">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3</w:t>
            </w:r>
          </w:p>
        </w:tc>
        <w:tc>
          <w:tcPr>
            <w:tcW w:w="142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34354854">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项目实施是否符合相关管理规定，用以反映和考核相关管理制度的有效执行情况。</w:t>
            </w:r>
          </w:p>
        </w:tc>
        <w:tc>
          <w:tcPr>
            <w:tcW w:w="1183"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216EFC49">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有效</w:t>
            </w:r>
          </w:p>
        </w:tc>
        <w:tc>
          <w:tcPr>
            <w:tcW w:w="1732"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7B78AE10">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评价要点：①是否遵守相关法律法规和相关管理规定；②项目调整及支出调整手续是否完备；③项目合同书、验收报告等资料是否齐全并及时归档；④项目实施的人员条件、场地设备、信息支撑等是否落实到位。</w:t>
            </w:r>
          </w:p>
        </w:tc>
        <w:tc>
          <w:tcPr>
            <w:tcW w:w="114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4706D6F5">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制度汇编、现场踏勘</w:t>
            </w:r>
          </w:p>
        </w:tc>
        <w:tc>
          <w:tcPr>
            <w:tcW w:w="2085"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15AFDC60">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cs="仿宋_GB2312"/>
                <w:i w:val="0"/>
                <w:iCs w:val="0"/>
                <w:color w:val="000000"/>
                <w:kern w:val="0"/>
                <w:sz w:val="22"/>
                <w:szCs w:val="22"/>
                <w:highlight w:val="none"/>
                <w:u w:val="none"/>
                <w:lang w:val="en-US" w:eastAsia="zh-CN" w:bidi="ar"/>
              </w:rPr>
              <w:t>经核查</w:t>
            </w:r>
            <w:r>
              <w:rPr>
                <w:rFonts w:hint="eastAsia" w:ascii="仿宋_GB2312" w:hAnsi="仿宋_GB2312" w:eastAsia="仿宋_GB2312" w:cs="仿宋_GB2312"/>
                <w:i w:val="0"/>
                <w:iCs w:val="0"/>
                <w:color w:val="000000"/>
                <w:kern w:val="0"/>
                <w:sz w:val="22"/>
                <w:szCs w:val="22"/>
                <w:highlight w:val="none"/>
                <w:u w:val="none"/>
                <w:lang w:val="en-US" w:eastAsia="zh-CN" w:bidi="ar"/>
              </w:rPr>
              <w:t>：①</w:t>
            </w:r>
            <w:r>
              <w:rPr>
                <w:rFonts w:hint="eastAsia" w:cs="仿宋_GB2312"/>
                <w:i w:val="0"/>
                <w:iCs w:val="0"/>
                <w:color w:val="000000"/>
                <w:kern w:val="0"/>
                <w:sz w:val="22"/>
                <w:szCs w:val="22"/>
                <w:highlight w:val="none"/>
                <w:u w:val="none"/>
                <w:lang w:val="en-US" w:eastAsia="zh-CN" w:bidi="ar"/>
              </w:rPr>
              <w:t>已</w:t>
            </w:r>
            <w:r>
              <w:rPr>
                <w:rFonts w:hint="eastAsia" w:ascii="仿宋_GB2312" w:hAnsi="仿宋_GB2312" w:eastAsia="仿宋_GB2312" w:cs="仿宋_GB2312"/>
                <w:i w:val="0"/>
                <w:iCs w:val="0"/>
                <w:color w:val="000000"/>
                <w:kern w:val="0"/>
                <w:sz w:val="22"/>
                <w:szCs w:val="22"/>
                <w:highlight w:val="none"/>
                <w:u w:val="none"/>
                <w:lang w:val="en-US" w:eastAsia="zh-CN" w:bidi="ar"/>
              </w:rPr>
              <w:t>遵守相关法律法规和相关管理规定；②项目调整及支出调整手续完备；③项目合同书、验收报告等资料是否齐全并及时归档；④计划工期与实际工期差距较大。综上所述，该指标满分 3 分，扣 2 分，得分 1 分。</w:t>
            </w:r>
          </w:p>
        </w:tc>
        <w:tc>
          <w:tcPr>
            <w:tcW w:w="1136"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56A4E195">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cs="仿宋_GB2312"/>
                <w:i w:val="0"/>
                <w:iCs w:val="0"/>
                <w:color w:val="000000"/>
                <w:kern w:val="0"/>
                <w:sz w:val="22"/>
                <w:szCs w:val="22"/>
                <w:highlight w:val="none"/>
                <w:u w:val="none"/>
                <w:lang w:val="en-US" w:eastAsia="zh-CN" w:bidi="ar"/>
              </w:rPr>
              <w:t>1</w:t>
            </w:r>
          </w:p>
        </w:tc>
        <w:tc>
          <w:tcPr>
            <w:tcW w:w="1136"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4BF1FCE6">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cs="仿宋_GB2312"/>
                <w:i w:val="0"/>
                <w:iCs w:val="0"/>
                <w:color w:val="000000"/>
                <w:kern w:val="0"/>
                <w:sz w:val="22"/>
                <w:szCs w:val="22"/>
                <w:highlight w:val="none"/>
                <w:u w:val="none"/>
                <w:lang w:val="en-US" w:eastAsia="zh-CN" w:bidi="ar"/>
              </w:rPr>
              <w:t>2</w:t>
            </w:r>
          </w:p>
        </w:tc>
        <w:tc>
          <w:tcPr>
            <w:tcW w:w="1466"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4CCC09F3">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cs="仿宋_GB2312"/>
                <w:i w:val="0"/>
                <w:iCs w:val="0"/>
                <w:color w:val="000000"/>
                <w:kern w:val="0"/>
                <w:sz w:val="22"/>
                <w:szCs w:val="22"/>
                <w:highlight w:val="none"/>
                <w:u w:val="none"/>
                <w:lang w:val="en-US" w:eastAsia="zh-CN" w:bidi="ar"/>
              </w:rPr>
              <w:t>66.66</w:t>
            </w:r>
            <w:r>
              <w:rPr>
                <w:rFonts w:hint="eastAsia" w:ascii="仿宋_GB2312" w:hAnsi="仿宋_GB2312" w:eastAsia="仿宋_GB2312" w:cs="仿宋_GB2312"/>
                <w:i w:val="0"/>
                <w:iCs w:val="0"/>
                <w:color w:val="000000"/>
                <w:kern w:val="0"/>
                <w:sz w:val="22"/>
                <w:szCs w:val="22"/>
                <w:highlight w:val="none"/>
                <w:u w:val="none"/>
                <w:lang w:val="en-US" w:eastAsia="zh-CN" w:bidi="ar"/>
              </w:rPr>
              <w:t>%</w:t>
            </w:r>
          </w:p>
        </w:tc>
      </w:tr>
      <w:tr w14:paraId="336A1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747"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5CF6DAF">
            <w:pPr>
              <w:jc w:val="center"/>
              <w:rPr>
                <w:rFonts w:hint="eastAsia" w:ascii="仿宋_GB2312" w:hAnsi="仿宋_GB2312" w:eastAsia="仿宋_GB2312" w:cs="仿宋_GB2312"/>
                <w:i w:val="0"/>
                <w:iCs w:val="0"/>
                <w:color w:val="000000"/>
                <w:sz w:val="22"/>
                <w:szCs w:val="22"/>
                <w:highlight w:val="none"/>
                <w:u w:val="none"/>
              </w:rPr>
            </w:pPr>
          </w:p>
        </w:tc>
        <w:tc>
          <w:tcPr>
            <w:tcW w:w="126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EEAD133">
            <w:pPr>
              <w:jc w:val="center"/>
              <w:rPr>
                <w:rFonts w:hint="eastAsia" w:ascii="仿宋_GB2312" w:hAnsi="仿宋_GB2312" w:eastAsia="仿宋_GB2312" w:cs="仿宋_GB2312"/>
                <w:i w:val="0"/>
                <w:iCs w:val="0"/>
                <w:color w:val="000000"/>
                <w:sz w:val="22"/>
                <w:szCs w:val="22"/>
                <w:highlight w:val="none"/>
                <w:u w:val="none"/>
              </w:rPr>
            </w:pPr>
          </w:p>
        </w:tc>
        <w:tc>
          <w:tcPr>
            <w:tcW w:w="631" w:type="dxa"/>
            <w:vMerge w:val="continue"/>
            <w:tcBorders>
              <w:top w:val="single" w:color="auto" w:sz="4" w:space="0"/>
              <w:left w:val="single" w:color="000000" w:sz="4" w:space="0"/>
              <w:bottom w:val="single" w:color="auto" w:sz="4" w:space="0"/>
              <w:right w:val="single" w:color="000000" w:sz="4" w:space="0"/>
            </w:tcBorders>
            <w:shd w:val="clear" w:color="auto" w:fill="auto"/>
            <w:textDirection w:val="tbRlV"/>
            <w:vAlign w:val="center"/>
          </w:tcPr>
          <w:p w14:paraId="7490177D">
            <w:pPr>
              <w:jc w:val="center"/>
              <w:rPr>
                <w:rFonts w:hint="eastAsia" w:ascii="仿宋_GB2312" w:hAnsi="仿宋_GB2312" w:eastAsia="仿宋_GB2312" w:cs="仿宋_GB2312"/>
                <w:i w:val="0"/>
                <w:iCs w:val="0"/>
                <w:color w:val="000000"/>
                <w:sz w:val="22"/>
                <w:szCs w:val="22"/>
                <w:highlight w:val="none"/>
                <w:u w:val="none"/>
              </w:rPr>
            </w:pPr>
          </w:p>
        </w:tc>
        <w:tc>
          <w:tcPr>
            <w:tcW w:w="110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2A0787C">
            <w:pPr>
              <w:jc w:val="center"/>
              <w:rPr>
                <w:rFonts w:hint="eastAsia" w:ascii="仿宋_GB2312" w:hAnsi="仿宋_GB2312" w:eastAsia="仿宋_GB2312" w:cs="仿宋_GB2312"/>
                <w:i w:val="0"/>
                <w:iCs w:val="0"/>
                <w:color w:val="000000"/>
                <w:sz w:val="22"/>
                <w:szCs w:val="22"/>
                <w:highlight w:val="none"/>
                <w:u w:val="none"/>
              </w:rPr>
            </w:pPr>
          </w:p>
        </w:tc>
        <w:tc>
          <w:tcPr>
            <w:tcW w:w="88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DD0BD1F">
            <w:pPr>
              <w:jc w:val="center"/>
              <w:rPr>
                <w:rFonts w:hint="eastAsia" w:ascii="仿宋_GB2312" w:hAnsi="仿宋_GB2312" w:eastAsia="仿宋_GB2312" w:cs="仿宋_GB2312"/>
                <w:i w:val="0"/>
                <w:iCs w:val="0"/>
                <w:color w:val="000000"/>
                <w:sz w:val="22"/>
                <w:szCs w:val="22"/>
                <w:highlight w:val="none"/>
                <w:u w:val="none"/>
              </w:rPr>
            </w:pPr>
          </w:p>
        </w:tc>
        <w:tc>
          <w:tcPr>
            <w:tcW w:w="142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6CBF878">
            <w:pPr>
              <w:jc w:val="center"/>
              <w:rPr>
                <w:rFonts w:hint="eastAsia" w:ascii="仿宋_GB2312" w:hAnsi="仿宋_GB2312" w:eastAsia="仿宋_GB2312" w:cs="仿宋_GB2312"/>
                <w:i w:val="0"/>
                <w:iCs w:val="0"/>
                <w:color w:val="000000"/>
                <w:sz w:val="22"/>
                <w:szCs w:val="22"/>
                <w:highlight w:val="none"/>
                <w:u w:val="none"/>
              </w:rPr>
            </w:pPr>
          </w:p>
        </w:tc>
        <w:tc>
          <w:tcPr>
            <w:tcW w:w="118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1D07689">
            <w:pPr>
              <w:jc w:val="center"/>
              <w:rPr>
                <w:rFonts w:hint="eastAsia" w:ascii="仿宋_GB2312" w:hAnsi="仿宋_GB2312" w:eastAsia="仿宋_GB2312" w:cs="仿宋_GB2312"/>
                <w:i w:val="0"/>
                <w:iCs w:val="0"/>
                <w:color w:val="000000"/>
                <w:sz w:val="22"/>
                <w:szCs w:val="22"/>
                <w:highlight w:val="none"/>
                <w:u w:val="none"/>
              </w:rPr>
            </w:pPr>
          </w:p>
        </w:tc>
        <w:tc>
          <w:tcPr>
            <w:tcW w:w="173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8F9A988">
            <w:pPr>
              <w:jc w:val="center"/>
              <w:rPr>
                <w:rFonts w:hint="eastAsia" w:ascii="仿宋_GB2312" w:hAnsi="仿宋_GB2312" w:eastAsia="仿宋_GB2312" w:cs="仿宋_GB2312"/>
                <w:i w:val="0"/>
                <w:iCs w:val="0"/>
                <w:color w:val="000000"/>
                <w:sz w:val="22"/>
                <w:szCs w:val="22"/>
                <w:highlight w:val="none"/>
                <w:u w:val="none"/>
              </w:rPr>
            </w:pPr>
          </w:p>
        </w:tc>
        <w:tc>
          <w:tcPr>
            <w:tcW w:w="114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F6F7DB2">
            <w:pPr>
              <w:jc w:val="center"/>
              <w:rPr>
                <w:rFonts w:hint="eastAsia" w:ascii="仿宋_GB2312" w:hAnsi="仿宋_GB2312" w:eastAsia="仿宋_GB2312" w:cs="仿宋_GB2312"/>
                <w:i w:val="0"/>
                <w:iCs w:val="0"/>
                <w:color w:val="000000"/>
                <w:sz w:val="22"/>
                <w:szCs w:val="22"/>
                <w:highlight w:val="none"/>
                <w:u w:val="none"/>
              </w:rPr>
            </w:pPr>
          </w:p>
        </w:tc>
        <w:tc>
          <w:tcPr>
            <w:tcW w:w="208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ABE0DE4">
            <w:pPr>
              <w:jc w:val="left"/>
              <w:rPr>
                <w:rFonts w:hint="eastAsia" w:ascii="仿宋_GB2312" w:hAnsi="仿宋_GB2312" w:eastAsia="仿宋_GB2312" w:cs="仿宋_GB2312"/>
                <w:i w:val="0"/>
                <w:iCs w:val="0"/>
                <w:color w:val="000000"/>
                <w:sz w:val="22"/>
                <w:szCs w:val="22"/>
                <w:highlight w:val="none"/>
                <w:u w:val="none"/>
              </w:rPr>
            </w:pPr>
          </w:p>
        </w:tc>
        <w:tc>
          <w:tcPr>
            <w:tcW w:w="1136"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25F4D81">
            <w:pPr>
              <w:jc w:val="center"/>
              <w:rPr>
                <w:rFonts w:hint="eastAsia" w:ascii="仿宋_GB2312" w:hAnsi="仿宋_GB2312" w:eastAsia="仿宋_GB2312" w:cs="仿宋_GB2312"/>
                <w:i w:val="0"/>
                <w:iCs w:val="0"/>
                <w:color w:val="000000"/>
                <w:sz w:val="22"/>
                <w:szCs w:val="22"/>
                <w:highlight w:val="none"/>
                <w:u w:val="none"/>
              </w:rPr>
            </w:pPr>
          </w:p>
        </w:tc>
        <w:tc>
          <w:tcPr>
            <w:tcW w:w="1136"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B1249AE">
            <w:pPr>
              <w:jc w:val="center"/>
              <w:rPr>
                <w:rFonts w:hint="eastAsia" w:ascii="仿宋_GB2312" w:hAnsi="仿宋_GB2312" w:eastAsia="仿宋_GB2312" w:cs="仿宋_GB2312"/>
                <w:i w:val="0"/>
                <w:iCs w:val="0"/>
                <w:color w:val="000000"/>
                <w:sz w:val="22"/>
                <w:szCs w:val="22"/>
                <w:highlight w:val="none"/>
                <w:u w:val="none"/>
              </w:rPr>
            </w:pPr>
          </w:p>
        </w:tc>
        <w:tc>
          <w:tcPr>
            <w:tcW w:w="1466"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8B2DF26">
            <w:pPr>
              <w:jc w:val="center"/>
              <w:rPr>
                <w:rFonts w:hint="eastAsia" w:ascii="仿宋_GB2312" w:hAnsi="仿宋_GB2312" w:eastAsia="仿宋_GB2312" w:cs="仿宋_GB2312"/>
                <w:i w:val="0"/>
                <w:iCs w:val="0"/>
                <w:color w:val="000000"/>
                <w:sz w:val="22"/>
                <w:szCs w:val="22"/>
                <w:highlight w:val="none"/>
                <w:u w:val="none"/>
              </w:rPr>
            </w:pPr>
          </w:p>
        </w:tc>
      </w:tr>
      <w:tr w14:paraId="07B62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4" w:hRule="atLeast"/>
        </w:trPr>
        <w:tc>
          <w:tcPr>
            <w:tcW w:w="747" w:type="dxa"/>
            <w:tcBorders>
              <w:top w:val="single" w:color="auto" w:sz="4" w:space="0"/>
              <w:left w:val="single" w:color="auto" w:sz="4" w:space="0"/>
              <w:bottom w:val="single" w:color="auto" w:sz="4" w:space="0"/>
              <w:right w:val="single" w:color="000000" w:sz="4" w:space="0"/>
            </w:tcBorders>
            <w:shd w:val="clear" w:color="auto" w:fill="auto"/>
            <w:vAlign w:val="center"/>
          </w:tcPr>
          <w:p w14:paraId="361DBAE4">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12</w:t>
            </w:r>
          </w:p>
        </w:tc>
        <w:tc>
          <w:tcPr>
            <w:tcW w:w="126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179A3BA">
            <w:pPr>
              <w:jc w:val="center"/>
              <w:rPr>
                <w:rFonts w:hint="eastAsia" w:ascii="仿宋_GB2312" w:hAnsi="仿宋_GB2312" w:eastAsia="仿宋_GB2312" w:cs="仿宋_GB2312"/>
                <w:i w:val="0"/>
                <w:iCs w:val="0"/>
                <w:color w:val="000000"/>
                <w:sz w:val="22"/>
                <w:szCs w:val="22"/>
                <w:highlight w:val="none"/>
                <w:u w:val="none"/>
              </w:rPr>
            </w:pPr>
          </w:p>
        </w:tc>
        <w:tc>
          <w:tcPr>
            <w:tcW w:w="631" w:type="dxa"/>
            <w:vMerge w:val="continue"/>
            <w:tcBorders>
              <w:top w:val="single" w:color="auto" w:sz="4" w:space="0"/>
              <w:left w:val="single" w:color="000000" w:sz="4" w:space="0"/>
              <w:bottom w:val="single" w:color="auto" w:sz="4" w:space="0"/>
              <w:right w:val="single" w:color="000000" w:sz="4" w:space="0"/>
            </w:tcBorders>
            <w:shd w:val="clear" w:color="auto" w:fill="auto"/>
            <w:textDirection w:val="tbRlV"/>
            <w:vAlign w:val="center"/>
          </w:tcPr>
          <w:p w14:paraId="74FEE251">
            <w:pPr>
              <w:jc w:val="center"/>
              <w:rPr>
                <w:rFonts w:hint="eastAsia" w:ascii="仿宋_GB2312" w:hAnsi="仿宋_GB2312" w:eastAsia="仿宋_GB2312" w:cs="仿宋_GB2312"/>
                <w:i w:val="0"/>
                <w:iCs w:val="0"/>
                <w:color w:val="000000"/>
                <w:sz w:val="22"/>
                <w:szCs w:val="22"/>
                <w:highlight w:val="none"/>
                <w:u w:val="none"/>
              </w:rPr>
            </w:pPr>
          </w:p>
        </w:tc>
        <w:tc>
          <w:tcPr>
            <w:tcW w:w="1109" w:type="dxa"/>
            <w:tcBorders>
              <w:top w:val="single" w:color="auto" w:sz="4" w:space="0"/>
              <w:left w:val="single" w:color="000000" w:sz="4" w:space="0"/>
              <w:bottom w:val="single" w:color="auto" w:sz="4" w:space="0"/>
              <w:right w:val="single" w:color="000000" w:sz="4" w:space="0"/>
            </w:tcBorders>
            <w:shd w:val="clear" w:color="auto" w:fill="auto"/>
            <w:vAlign w:val="center"/>
          </w:tcPr>
          <w:p w14:paraId="4E29F5E0">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项目质量可控性</w:t>
            </w:r>
          </w:p>
        </w:tc>
        <w:tc>
          <w:tcPr>
            <w:tcW w:w="885" w:type="dxa"/>
            <w:tcBorders>
              <w:top w:val="single" w:color="auto" w:sz="4" w:space="0"/>
              <w:left w:val="single" w:color="000000" w:sz="4" w:space="0"/>
              <w:bottom w:val="single" w:color="auto" w:sz="4" w:space="0"/>
              <w:right w:val="single" w:color="000000" w:sz="4" w:space="0"/>
            </w:tcBorders>
            <w:shd w:val="clear" w:color="auto" w:fill="auto"/>
            <w:vAlign w:val="center"/>
          </w:tcPr>
          <w:p w14:paraId="2DA28B3C">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3</w:t>
            </w:r>
          </w:p>
        </w:tc>
        <w:tc>
          <w:tcPr>
            <w:tcW w:w="1429" w:type="dxa"/>
            <w:tcBorders>
              <w:top w:val="single" w:color="auto" w:sz="4" w:space="0"/>
              <w:left w:val="single" w:color="000000" w:sz="4" w:space="0"/>
              <w:bottom w:val="single" w:color="auto" w:sz="4" w:space="0"/>
              <w:right w:val="single" w:color="000000" w:sz="4" w:space="0"/>
            </w:tcBorders>
            <w:shd w:val="clear" w:color="auto" w:fill="auto"/>
            <w:vAlign w:val="center"/>
          </w:tcPr>
          <w:p w14:paraId="5DB067FB">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项目实施单位是否为达到项目质量要求而采取了必需的措施，用以反映和考核项目实施单位对项目质量的控制情况。</w:t>
            </w:r>
          </w:p>
        </w:tc>
        <w:tc>
          <w:tcPr>
            <w:tcW w:w="1183" w:type="dxa"/>
            <w:tcBorders>
              <w:top w:val="single" w:color="auto" w:sz="4" w:space="0"/>
              <w:left w:val="single" w:color="000000" w:sz="4" w:space="0"/>
              <w:bottom w:val="single" w:color="auto" w:sz="4" w:space="0"/>
              <w:right w:val="single" w:color="000000" w:sz="4" w:space="0"/>
            </w:tcBorders>
            <w:shd w:val="clear" w:color="auto" w:fill="auto"/>
            <w:vAlign w:val="center"/>
          </w:tcPr>
          <w:p w14:paraId="152AED9C">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可控</w:t>
            </w:r>
          </w:p>
        </w:tc>
        <w:tc>
          <w:tcPr>
            <w:tcW w:w="1732" w:type="dxa"/>
            <w:tcBorders>
              <w:top w:val="single" w:color="auto" w:sz="4" w:space="0"/>
              <w:left w:val="single" w:color="000000" w:sz="4" w:space="0"/>
              <w:bottom w:val="single" w:color="auto" w:sz="4" w:space="0"/>
              <w:right w:val="single" w:color="000000" w:sz="4" w:space="0"/>
            </w:tcBorders>
            <w:shd w:val="clear" w:color="auto" w:fill="auto"/>
            <w:vAlign w:val="center"/>
          </w:tcPr>
          <w:p w14:paraId="7AB72450">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评价要点：①质控措施是否落实，责任主体是否明确；②抽查区域内质控工作相关档案是否齐全、规范</w:t>
            </w:r>
          </w:p>
        </w:tc>
        <w:tc>
          <w:tcPr>
            <w:tcW w:w="1149" w:type="dxa"/>
            <w:tcBorders>
              <w:top w:val="single" w:color="auto" w:sz="4" w:space="0"/>
              <w:left w:val="single" w:color="000000" w:sz="4" w:space="0"/>
              <w:bottom w:val="single" w:color="auto" w:sz="4" w:space="0"/>
              <w:right w:val="single" w:color="000000" w:sz="4" w:space="0"/>
            </w:tcBorders>
            <w:shd w:val="clear" w:color="auto" w:fill="auto"/>
            <w:vAlign w:val="center"/>
          </w:tcPr>
          <w:p w14:paraId="5E75C6CB">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项目文件、现场踏勘</w:t>
            </w:r>
          </w:p>
        </w:tc>
        <w:tc>
          <w:tcPr>
            <w:tcW w:w="2085" w:type="dxa"/>
            <w:tcBorders>
              <w:top w:val="single" w:color="auto" w:sz="4" w:space="0"/>
              <w:left w:val="single" w:color="000000" w:sz="4" w:space="0"/>
              <w:bottom w:val="single" w:color="auto" w:sz="4" w:space="0"/>
              <w:right w:val="single" w:color="000000" w:sz="4" w:space="0"/>
            </w:tcBorders>
            <w:shd w:val="clear" w:color="auto" w:fill="auto"/>
            <w:vAlign w:val="center"/>
          </w:tcPr>
          <w:p w14:paraId="659910D3">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经核查，①质控措施</w:t>
            </w:r>
            <w:r>
              <w:rPr>
                <w:rFonts w:hint="eastAsia" w:cs="仿宋_GB2312"/>
                <w:i w:val="0"/>
                <w:iCs w:val="0"/>
                <w:color w:val="000000"/>
                <w:kern w:val="0"/>
                <w:sz w:val="22"/>
                <w:szCs w:val="22"/>
                <w:highlight w:val="none"/>
                <w:u w:val="none"/>
                <w:lang w:val="en-US" w:eastAsia="zh-CN" w:bidi="ar"/>
              </w:rPr>
              <w:t>已</w:t>
            </w:r>
            <w:r>
              <w:rPr>
                <w:rFonts w:hint="eastAsia" w:ascii="仿宋_GB2312" w:hAnsi="仿宋_GB2312" w:eastAsia="仿宋_GB2312" w:cs="仿宋_GB2312"/>
                <w:i w:val="0"/>
                <w:iCs w:val="0"/>
                <w:color w:val="000000"/>
                <w:kern w:val="0"/>
                <w:sz w:val="22"/>
                <w:szCs w:val="22"/>
                <w:highlight w:val="none"/>
                <w:u w:val="none"/>
                <w:lang w:val="en-US" w:eastAsia="zh-CN" w:bidi="ar"/>
              </w:rPr>
              <w:t>落实，责任主体明确；②抽查区域内质控工作相关档案齐全、规范</w:t>
            </w:r>
            <w:r>
              <w:rPr>
                <w:rFonts w:hint="eastAsia" w:cs="仿宋_GB2312"/>
                <w:i w:val="0"/>
                <w:iCs w:val="0"/>
                <w:color w:val="000000"/>
                <w:kern w:val="0"/>
                <w:sz w:val="22"/>
                <w:szCs w:val="22"/>
                <w:highlight w:val="none"/>
                <w:u w:val="none"/>
                <w:lang w:val="en-US" w:eastAsia="zh-CN" w:bidi="ar"/>
              </w:rPr>
              <w:t>。</w:t>
            </w:r>
            <w:r>
              <w:rPr>
                <w:rFonts w:hint="eastAsia" w:ascii="仿宋_GB2312" w:hAnsi="仿宋_GB2312" w:eastAsia="仿宋_GB2312" w:cs="仿宋_GB2312"/>
                <w:i w:val="0"/>
                <w:iCs w:val="0"/>
                <w:color w:val="000000"/>
                <w:kern w:val="0"/>
                <w:sz w:val="22"/>
                <w:szCs w:val="22"/>
                <w:highlight w:val="none"/>
                <w:u w:val="none"/>
                <w:lang w:val="en-US" w:eastAsia="zh-CN" w:bidi="ar"/>
              </w:rPr>
              <w:t xml:space="preserve">综上所述，该指标满分 3 分，得分 </w:t>
            </w:r>
            <w:r>
              <w:rPr>
                <w:rFonts w:hint="eastAsia" w:cs="仿宋_GB2312"/>
                <w:i w:val="0"/>
                <w:iCs w:val="0"/>
                <w:color w:val="000000"/>
                <w:kern w:val="0"/>
                <w:sz w:val="22"/>
                <w:szCs w:val="22"/>
                <w:highlight w:val="none"/>
                <w:u w:val="none"/>
                <w:lang w:val="en-US" w:eastAsia="zh-CN" w:bidi="ar"/>
              </w:rPr>
              <w:t>3</w:t>
            </w:r>
            <w:r>
              <w:rPr>
                <w:rFonts w:hint="eastAsia" w:ascii="仿宋_GB2312" w:hAnsi="仿宋_GB2312" w:eastAsia="仿宋_GB2312" w:cs="仿宋_GB2312"/>
                <w:i w:val="0"/>
                <w:iCs w:val="0"/>
                <w:color w:val="000000"/>
                <w:kern w:val="0"/>
                <w:sz w:val="22"/>
                <w:szCs w:val="22"/>
                <w:highlight w:val="none"/>
                <w:u w:val="none"/>
                <w:lang w:val="en-US" w:eastAsia="zh-CN" w:bidi="ar"/>
              </w:rPr>
              <w:t xml:space="preserve"> 分。</w:t>
            </w:r>
          </w:p>
        </w:tc>
        <w:tc>
          <w:tcPr>
            <w:tcW w:w="1136" w:type="dxa"/>
            <w:tcBorders>
              <w:top w:val="single" w:color="auto" w:sz="4" w:space="0"/>
              <w:left w:val="single" w:color="000000" w:sz="4" w:space="0"/>
              <w:bottom w:val="single" w:color="auto" w:sz="4" w:space="0"/>
              <w:right w:val="single" w:color="000000" w:sz="4" w:space="0"/>
            </w:tcBorders>
            <w:shd w:val="clear" w:color="auto" w:fill="auto"/>
            <w:vAlign w:val="center"/>
          </w:tcPr>
          <w:p w14:paraId="2D9684B9">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cs="仿宋_GB2312"/>
                <w:i w:val="0"/>
                <w:iCs w:val="0"/>
                <w:color w:val="000000"/>
                <w:kern w:val="0"/>
                <w:sz w:val="22"/>
                <w:szCs w:val="22"/>
                <w:highlight w:val="none"/>
                <w:u w:val="none"/>
                <w:lang w:val="en-US" w:eastAsia="zh-CN" w:bidi="ar"/>
              </w:rPr>
              <w:t>0</w:t>
            </w:r>
          </w:p>
        </w:tc>
        <w:tc>
          <w:tcPr>
            <w:tcW w:w="1136" w:type="dxa"/>
            <w:tcBorders>
              <w:top w:val="single" w:color="auto" w:sz="4" w:space="0"/>
              <w:left w:val="single" w:color="000000" w:sz="4" w:space="0"/>
              <w:bottom w:val="single" w:color="auto" w:sz="4" w:space="0"/>
              <w:right w:val="single" w:color="000000" w:sz="4" w:space="0"/>
            </w:tcBorders>
            <w:shd w:val="clear" w:color="auto" w:fill="auto"/>
            <w:vAlign w:val="center"/>
          </w:tcPr>
          <w:p w14:paraId="07FDBCB5">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cs="仿宋_GB2312"/>
                <w:i w:val="0"/>
                <w:iCs w:val="0"/>
                <w:color w:val="000000"/>
                <w:kern w:val="0"/>
                <w:sz w:val="22"/>
                <w:szCs w:val="22"/>
                <w:highlight w:val="none"/>
                <w:u w:val="none"/>
                <w:lang w:val="en-US" w:eastAsia="zh-CN" w:bidi="ar"/>
              </w:rPr>
              <w:t>3</w:t>
            </w:r>
          </w:p>
        </w:tc>
        <w:tc>
          <w:tcPr>
            <w:tcW w:w="1466" w:type="dxa"/>
            <w:tcBorders>
              <w:top w:val="single" w:color="auto" w:sz="4" w:space="0"/>
              <w:left w:val="single" w:color="000000" w:sz="4" w:space="0"/>
              <w:bottom w:val="single" w:color="auto" w:sz="4" w:space="0"/>
              <w:right w:val="single" w:color="auto" w:sz="4" w:space="0"/>
            </w:tcBorders>
            <w:shd w:val="clear" w:color="auto" w:fill="auto"/>
            <w:vAlign w:val="center"/>
          </w:tcPr>
          <w:p w14:paraId="5C1BB35B">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cs="仿宋_GB2312"/>
                <w:i w:val="0"/>
                <w:iCs w:val="0"/>
                <w:color w:val="000000"/>
                <w:kern w:val="0"/>
                <w:sz w:val="22"/>
                <w:szCs w:val="22"/>
                <w:highlight w:val="none"/>
                <w:u w:val="none"/>
                <w:lang w:val="en-US" w:eastAsia="zh-CN" w:bidi="ar"/>
              </w:rPr>
              <w:t>100</w:t>
            </w:r>
            <w:r>
              <w:rPr>
                <w:rFonts w:hint="eastAsia" w:ascii="仿宋_GB2312" w:hAnsi="仿宋_GB2312" w:eastAsia="仿宋_GB2312" w:cs="仿宋_GB2312"/>
                <w:i w:val="0"/>
                <w:iCs w:val="0"/>
                <w:color w:val="000000"/>
                <w:kern w:val="0"/>
                <w:sz w:val="22"/>
                <w:szCs w:val="22"/>
                <w:highlight w:val="none"/>
                <w:u w:val="none"/>
                <w:lang w:val="en-US" w:eastAsia="zh-CN" w:bidi="ar"/>
              </w:rPr>
              <w:t>%</w:t>
            </w:r>
          </w:p>
        </w:tc>
      </w:tr>
      <w:tr w14:paraId="7AF36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0" w:hRule="atLeast"/>
        </w:trPr>
        <w:tc>
          <w:tcPr>
            <w:tcW w:w="747" w:type="dxa"/>
            <w:tcBorders>
              <w:top w:val="single" w:color="auto" w:sz="4" w:space="0"/>
              <w:left w:val="single" w:color="auto" w:sz="4" w:space="0"/>
              <w:bottom w:val="single" w:color="auto" w:sz="4" w:space="0"/>
              <w:right w:val="single" w:color="000000" w:sz="4" w:space="0"/>
            </w:tcBorders>
            <w:shd w:val="clear" w:color="auto" w:fill="auto"/>
            <w:vAlign w:val="center"/>
          </w:tcPr>
          <w:p w14:paraId="1309E198">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13</w:t>
            </w:r>
          </w:p>
        </w:tc>
        <w:tc>
          <w:tcPr>
            <w:tcW w:w="126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E112E0A">
            <w:pPr>
              <w:jc w:val="center"/>
              <w:rPr>
                <w:rFonts w:hint="eastAsia" w:ascii="仿宋_GB2312" w:hAnsi="仿宋_GB2312" w:eastAsia="仿宋_GB2312" w:cs="仿宋_GB2312"/>
                <w:i w:val="0"/>
                <w:iCs w:val="0"/>
                <w:color w:val="000000"/>
                <w:sz w:val="22"/>
                <w:szCs w:val="22"/>
                <w:highlight w:val="none"/>
                <w:u w:val="none"/>
              </w:rPr>
            </w:pPr>
          </w:p>
        </w:tc>
        <w:tc>
          <w:tcPr>
            <w:tcW w:w="631" w:type="dxa"/>
            <w:vMerge w:val="continue"/>
            <w:tcBorders>
              <w:top w:val="single" w:color="auto" w:sz="4" w:space="0"/>
              <w:left w:val="single" w:color="000000" w:sz="4" w:space="0"/>
              <w:bottom w:val="single" w:color="auto" w:sz="4" w:space="0"/>
              <w:right w:val="single" w:color="000000" w:sz="4" w:space="0"/>
            </w:tcBorders>
            <w:shd w:val="clear" w:color="auto" w:fill="auto"/>
            <w:textDirection w:val="tbRlV"/>
            <w:vAlign w:val="center"/>
          </w:tcPr>
          <w:p w14:paraId="5853180C">
            <w:pPr>
              <w:jc w:val="center"/>
              <w:rPr>
                <w:rFonts w:hint="eastAsia" w:ascii="仿宋_GB2312" w:hAnsi="仿宋_GB2312" w:eastAsia="仿宋_GB2312" w:cs="仿宋_GB2312"/>
                <w:i w:val="0"/>
                <w:iCs w:val="0"/>
                <w:color w:val="000000"/>
                <w:sz w:val="22"/>
                <w:szCs w:val="22"/>
                <w:highlight w:val="none"/>
                <w:u w:val="none"/>
              </w:rPr>
            </w:pPr>
          </w:p>
        </w:tc>
        <w:tc>
          <w:tcPr>
            <w:tcW w:w="1109" w:type="dxa"/>
            <w:tcBorders>
              <w:top w:val="single" w:color="auto" w:sz="4" w:space="0"/>
              <w:left w:val="single" w:color="000000" w:sz="4" w:space="0"/>
              <w:bottom w:val="single" w:color="auto" w:sz="4" w:space="0"/>
              <w:right w:val="single" w:color="000000" w:sz="4" w:space="0"/>
            </w:tcBorders>
            <w:shd w:val="clear" w:color="auto" w:fill="auto"/>
            <w:vAlign w:val="center"/>
          </w:tcPr>
          <w:p w14:paraId="6D771B57">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自评及整改</w:t>
            </w:r>
          </w:p>
        </w:tc>
        <w:tc>
          <w:tcPr>
            <w:tcW w:w="885" w:type="dxa"/>
            <w:tcBorders>
              <w:top w:val="single" w:color="auto" w:sz="4" w:space="0"/>
              <w:left w:val="single" w:color="000000" w:sz="4" w:space="0"/>
              <w:bottom w:val="single" w:color="auto" w:sz="4" w:space="0"/>
              <w:right w:val="single" w:color="000000" w:sz="4" w:space="0"/>
            </w:tcBorders>
            <w:shd w:val="clear" w:color="auto" w:fill="auto"/>
            <w:vAlign w:val="center"/>
          </w:tcPr>
          <w:p w14:paraId="587CB856">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3</w:t>
            </w:r>
          </w:p>
        </w:tc>
        <w:tc>
          <w:tcPr>
            <w:tcW w:w="1429" w:type="dxa"/>
            <w:tcBorders>
              <w:top w:val="single" w:color="auto" w:sz="4" w:space="0"/>
              <w:left w:val="single" w:color="000000" w:sz="4" w:space="0"/>
              <w:bottom w:val="single" w:color="auto" w:sz="4" w:space="0"/>
              <w:right w:val="single" w:color="000000" w:sz="4" w:space="0"/>
            </w:tcBorders>
            <w:shd w:val="clear" w:color="auto" w:fill="auto"/>
            <w:vAlign w:val="center"/>
          </w:tcPr>
          <w:p w14:paraId="709B868C">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是否开展项目自评；项目开始时间至项目完成时间内有关检查反馈的问题是否及时整改。</w:t>
            </w:r>
          </w:p>
        </w:tc>
        <w:tc>
          <w:tcPr>
            <w:tcW w:w="1183" w:type="dxa"/>
            <w:tcBorders>
              <w:top w:val="single" w:color="auto" w:sz="4" w:space="0"/>
              <w:left w:val="single" w:color="000000" w:sz="4" w:space="0"/>
              <w:bottom w:val="single" w:color="auto" w:sz="4" w:space="0"/>
              <w:right w:val="single" w:color="000000" w:sz="4" w:space="0"/>
            </w:tcBorders>
            <w:shd w:val="clear" w:color="auto" w:fill="auto"/>
            <w:vAlign w:val="center"/>
          </w:tcPr>
          <w:p w14:paraId="08C3793B">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规范</w:t>
            </w:r>
          </w:p>
        </w:tc>
        <w:tc>
          <w:tcPr>
            <w:tcW w:w="1732" w:type="dxa"/>
            <w:tcBorders>
              <w:top w:val="single" w:color="auto" w:sz="4" w:space="0"/>
              <w:left w:val="single" w:color="000000" w:sz="4" w:space="0"/>
              <w:bottom w:val="single" w:color="auto" w:sz="4" w:space="0"/>
              <w:right w:val="single" w:color="000000" w:sz="4" w:space="0"/>
            </w:tcBorders>
            <w:shd w:val="clear" w:color="auto" w:fill="auto"/>
            <w:vAlign w:val="center"/>
          </w:tcPr>
          <w:p w14:paraId="326D34B5">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评价要点：①自评按时完成；②自评质量情况；③项目开始时间至项目完成时间内未发现相关问题；④发现问题是否及时整改.</w:t>
            </w:r>
          </w:p>
        </w:tc>
        <w:tc>
          <w:tcPr>
            <w:tcW w:w="1149" w:type="dxa"/>
            <w:tcBorders>
              <w:top w:val="single" w:color="auto" w:sz="4" w:space="0"/>
              <w:left w:val="single" w:color="000000" w:sz="4" w:space="0"/>
              <w:bottom w:val="single" w:color="auto" w:sz="4" w:space="0"/>
              <w:right w:val="single" w:color="000000" w:sz="4" w:space="0"/>
            </w:tcBorders>
            <w:shd w:val="clear" w:color="auto" w:fill="auto"/>
            <w:vAlign w:val="center"/>
          </w:tcPr>
          <w:p w14:paraId="47B9D50F">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项目自评报告、项目自评表</w:t>
            </w:r>
          </w:p>
        </w:tc>
        <w:tc>
          <w:tcPr>
            <w:tcW w:w="2085" w:type="dxa"/>
            <w:tcBorders>
              <w:top w:val="single" w:color="auto" w:sz="4" w:space="0"/>
              <w:left w:val="single" w:color="000000" w:sz="4" w:space="0"/>
              <w:bottom w:val="single" w:color="auto" w:sz="4" w:space="0"/>
              <w:right w:val="single" w:color="000000" w:sz="4" w:space="0"/>
            </w:tcBorders>
            <w:shd w:val="clear" w:color="auto" w:fill="auto"/>
            <w:vAlign w:val="center"/>
          </w:tcPr>
          <w:p w14:paraId="1060DB9A">
            <w:pPr>
              <w:keepNext w:val="0"/>
              <w:keepLines w:val="0"/>
              <w:widowControl/>
              <w:suppressLineNumbers w:val="0"/>
              <w:jc w:val="left"/>
              <w:textAlignment w:val="center"/>
              <w:rPr>
                <w:rFonts w:hint="default" w:ascii="仿宋_GB2312" w:hAnsi="仿宋_GB2312" w:eastAsia="仿宋_GB2312" w:cs="仿宋_GB2312"/>
                <w:i w:val="0"/>
                <w:iCs w:val="0"/>
                <w:color w:val="000000"/>
                <w:sz w:val="22"/>
                <w:szCs w:val="22"/>
                <w:highlight w:val="none"/>
                <w:u w:val="none"/>
                <w:lang w:val="en-US"/>
              </w:rPr>
            </w:pPr>
            <w:r>
              <w:rPr>
                <w:rFonts w:hint="eastAsia" w:ascii="仿宋_GB2312" w:hAnsi="仿宋_GB2312" w:eastAsia="仿宋_GB2312" w:cs="仿宋_GB2312"/>
                <w:i w:val="0"/>
                <w:iCs w:val="0"/>
                <w:color w:val="000000"/>
                <w:kern w:val="0"/>
                <w:sz w:val="22"/>
                <w:szCs w:val="22"/>
                <w:highlight w:val="none"/>
                <w:u w:val="none"/>
                <w:lang w:val="en-US" w:eastAsia="zh-CN" w:bidi="ar"/>
              </w:rPr>
              <w:t xml:space="preserve">经核查，克拉玛依区住房和城乡建设局已按照预算绩效管理要求编制项目支出绩效自评表，综上所述，该指标满分 3 分，得分 </w:t>
            </w:r>
            <w:r>
              <w:rPr>
                <w:rFonts w:hint="eastAsia" w:cs="仿宋_GB2312"/>
                <w:i w:val="0"/>
                <w:iCs w:val="0"/>
                <w:color w:val="000000"/>
                <w:kern w:val="0"/>
                <w:sz w:val="22"/>
                <w:szCs w:val="22"/>
                <w:highlight w:val="none"/>
                <w:u w:val="none"/>
                <w:lang w:val="en-US" w:eastAsia="zh-CN" w:bidi="ar"/>
              </w:rPr>
              <w:t>3</w:t>
            </w:r>
            <w:r>
              <w:rPr>
                <w:rFonts w:hint="eastAsia" w:ascii="仿宋_GB2312" w:hAnsi="仿宋_GB2312" w:eastAsia="仿宋_GB2312" w:cs="仿宋_GB2312"/>
                <w:i w:val="0"/>
                <w:iCs w:val="0"/>
                <w:color w:val="000000"/>
                <w:kern w:val="0"/>
                <w:sz w:val="22"/>
                <w:szCs w:val="22"/>
                <w:highlight w:val="none"/>
                <w:u w:val="none"/>
                <w:lang w:val="en-US" w:eastAsia="zh-CN" w:bidi="ar"/>
              </w:rPr>
              <w:t xml:space="preserve"> 分。</w:t>
            </w:r>
          </w:p>
        </w:tc>
        <w:tc>
          <w:tcPr>
            <w:tcW w:w="1136" w:type="dxa"/>
            <w:tcBorders>
              <w:top w:val="single" w:color="auto" w:sz="4" w:space="0"/>
              <w:left w:val="single" w:color="000000" w:sz="4" w:space="0"/>
              <w:bottom w:val="single" w:color="auto" w:sz="4" w:space="0"/>
              <w:right w:val="single" w:color="000000" w:sz="4" w:space="0"/>
            </w:tcBorders>
            <w:shd w:val="clear" w:color="auto" w:fill="auto"/>
            <w:vAlign w:val="center"/>
          </w:tcPr>
          <w:p w14:paraId="23199317">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cs="仿宋_GB2312"/>
                <w:i w:val="0"/>
                <w:iCs w:val="0"/>
                <w:color w:val="000000"/>
                <w:kern w:val="0"/>
                <w:sz w:val="22"/>
                <w:szCs w:val="22"/>
                <w:highlight w:val="none"/>
                <w:u w:val="none"/>
                <w:lang w:val="en-US" w:eastAsia="zh-CN" w:bidi="ar"/>
              </w:rPr>
              <w:t>0</w:t>
            </w:r>
          </w:p>
        </w:tc>
        <w:tc>
          <w:tcPr>
            <w:tcW w:w="1136" w:type="dxa"/>
            <w:tcBorders>
              <w:top w:val="single" w:color="auto" w:sz="4" w:space="0"/>
              <w:left w:val="single" w:color="000000" w:sz="4" w:space="0"/>
              <w:bottom w:val="single" w:color="auto" w:sz="4" w:space="0"/>
              <w:right w:val="single" w:color="000000" w:sz="4" w:space="0"/>
            </w:tcBorders>
            <w:shd w:val="clear" w:color="auto" w:fill="auto"/>
            <w:vAlign w:val="center"/>
          </w:tcPr>
          <w:p w14:paraId="0C0F9AD2">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cs="仿宋_GB2312"/>
                <w:i w:val="0"/>
                <w:iCs w:val="0"/>
                <w:color w:val="000000"/>
                <w:kern w:val="0"/>
                <w:sz w:val="22"/>
                <w:szCs w:val="22"/>
                <w:highlight w:val="none"/>
                <w:u w:val="none"/>
                <w:lang w:val="en-US" w:eastAsia="zh-CN" w:bidi="ar"/>
              </w:rPr>
              <w:t>3</w:t>
            </w:r>
          </w:p>
        </w:tc>
        <w:tc>
          <w:tcPr>
            <w:tcW w:w="1466" w:type="dxa"/>
            <w:tcBorders>
              <w:top w:val="single" w:color="auto" w:sz="4" w:space="0"/>
              <w:left w:val="single" w:color="000000" w:sz="4" w:space="0"/>
              <w:bottom w:val="single" w:color="auto" w:sz="4" w:space="0"/>
              <w:right w:val="single" w:color="auto" w:sz="4" w:space="0"/>
            </w:tcBorders>
            <w:shd w:val="clear" w:color="auto" w:fill="auto"/>
            <w:vAlign w:val="center"/>
          </w:tcPr>
          <w:p w14:paraId="301D8488">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cs="仿宋_GB2312"/>
                <w:i w:val="0"/>
                <w:iCs w:val="0"/>
                <w:color w:val="000000"/>
                <w:kern w:val="0"/>
                <w:sz w:val="22"/>
                <w:szCs w:val="22"/>
                <w:highlight w:val="none"/>
                <w:u w:val="none"/>
                <w:lang w:val="en-US" w:eastAsia="zh-CN" w:bidi="ar"/>
              </w:rPr>
              <w:t>100</w:t>
            </w:r>
            <w:r>
              <w:rPr>
                <w:rFonts w:hint="eastAsia" w:ascii="仿宋_GB2312" w:hAnsi="仿宋_GB2312" w:eastAsia="仿宋_GB2312" w:cs="仿宋_GB2312"/>
                <w:i w:val="0"/>
                <w:iCs w:val="0"/>
                <w:color w:val="000000"/>
                <w:kern w:val="0"/>
                <w:sz w:val="22"/>
                <w:szCs w:val="22"/>
                <w:highlight w:val="none"/>
                <w:u w:val="none"/>
                <w:lang w:val="en-US" w:eastAsia="zh-CN" w:bidi="ar"/>
              </w:rPr>
              <w:t>%</w:t>
            </w:r>
          </w:p>
        </w:tc>
      </w:tr>
      <w:tr w14:paraId="53AF4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8" w:hRule="atLeast"/>
        </w:trPr>
        <w:tc>
          <w:tcPr>
            <w:tcW w:w="747" w:type="dxa"/>
            <w:tcBorders>
              <w:top w:val="single" w:color="auto" w:sz="4" w:space="0"/>
              <w:left w:val="single" w:color="auto" w:sz="4" w:space="0"/>
              <w:bottom w:val="single" w:color="auto" w:sz="4" w:space="0"/>
              <w:right w:val="single" w:color="000000" w:sz="4" w:space="0"/>
            </w:tcBorders>
            <w:shd w:val="clear" w:color="auto" w:fill="auto"/>
            <w:vAlign w:val="center"/>
          </w:tcPr>
          <w:p w14:paraId="28CB4B47">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14</w:t>
            </w:r>
          </w:p>
        </w:tc>
        <w:tc>
          <w:tcPr>
            <w:tcW w:w="126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5FD2AD1C">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项目产出（40分）</w:t>
            </w:r>
          </w:p>
        </w:tc>
        <w:tc>
          <w:tcPr>
            <w:tcW w:w="631" w:type="dxa"/>
            <w:tcBorders>
              <w:top w:val="single" w:color="auto" w:sz="4" w:space="0"/>
              <w:left w:val="single" w:color="000000" w:sz="4" w:space="0"/>
              <w:bottom w:val="single" w:color="auto" w:sz="4" w:space="0"/>
              <w:right w:val="single" w:color="000000" w:sz="4" w:space="0"/>
            </w:tcBorders>
            <w:shd w:val="clear" w:color="auto" w:fill="auto"/>
            <w:textDirection w:val="tbRlV"/>
            <w:vAlign w:val="center"/>
          </w:tcPr>
          <w:p w14:paraId="7563361F">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数量指标</w:t>
            </w:r>
          </w:p>
        </w:tc>
        <w:tc>
          <w:tcPr>
            <w:tcW w:w="1109" w:type="dxa"/>
            <w:tcBorders>
              <w:top w:val="single" w:color="auto" w:sz="4" w:space="0"/>
              <w:left w:val="single" w:color="000000" w:sz="4" w:space="0"/>
              <w:bottom w:val="single" w:color="auto" w:sz="4" w:space="0"/>
              <w:right w:val="single" w:color="000000" w:sz="4" w:space="0"/>
            </w:tcBorders>
            <w:shd w:val="clear" w:color="auto" w:fill="auto"/>
            <w:vAlign w:val="center"/>
          </w:tcPr>
          <w:p w14:paraId="0D174CF9">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设备购买数量</w:t>
            </w:r>
          </w:p>
        </w:tc>
        <w:tc>
          <w:tcPr>
            <w:tcW w:w="885" w:type="dxa"/>
            <w:tcBorders>
              <w:top w:val="single" w:color="auto" w:sz="4" w:space="0"/>
              <w:left w:val="single" w:color="000000" w:sz="4" w:space="0"/>
              <w:bottom w:val="single" w:color="auto" w:sz="4" w:space="0"/>
              <w:right w:val="single" w:color="000000" w:sz="4" w:space="0"/>
            </w:tcBorders>
            <w:shd w:val="clear" w:color="auto" w:fill="auto"/>
            <w:vAlign w:val="center"/>
          </w:tcPr>
          <w:p w14:paraId="2DA41B87">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7</w:t>
            </w:r>
          </w:p>
        </w:tc>
        <w:tc>
          <w:tcPr>
            <w:tcW w:w="1429" w:type="dxa"/>
            <w:tcBorders>
              <w:top w:val="single" w:color="auto" w:sz="4" w:space="0"/>
              <w:left w:val="single" w:color="000000" w:sz="4" w:space="0"/>
              <w:bottom w:val="single" w:color="auto" w:sz="4" w:space="0"/>
              <w:right w:val="single" w:color="000000" w:sz="4" w:space="0"/>
            </w:tcBorders>
            <w:shd w:val="clear" w:color="auto" w:fill="auto"/>
            <w:vAlign w:val="center"/>
          </w:tcPr>
          <w:p w14:paraId="5F336BF7">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电梯设备的购买数量。</w:t>
            </w:r>
          </w:p>
        </w:tc>
        <w:tc>
          <w:tcPr>
            <w:tcW w:w="1183" w:type="dxa"/>
            <w:tcBorders>
              <w:top w:val="single" w:color="auto" w:sz="4" w:space="0"/>
              <w:left w:val="single" w:color="000000" w:sz="4" w:space="0"/>
              <w:bottom w:val="single" w:color="auto" w:sz="4" w:space="0"/>
              <w:right w:val="single" w:color="000000" w:sz="4" w:space="0"/>
            </w:tcBorders>
            <w:shd w:val="clear" w:color="auto" w:fill="auto"/>
            <w:vAlign w:val="center"/>
          </w:tcPr>
          <w:p w14:paraId="4F915A7A">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≥26台</w:t>
            </w:r>
          </w:p>
        </w:tc>
        <w:tc>
          <w:tcPr>
            <w:tcW w:w="1732" w:type="dxa"/>
            <w:tcBorders>
              <w:top w:val="single" w:color="auto" w:sz="4" w:space="0"/>
              <w:left w:val="single" w:color="000000" w:sz="4" w:space="0"/>
              <w:bottom w:val="single" w:color="auto" w:sz="4" w:space="0"/>
              <w:right w:val="single" w:color="000000" w:sz="4" w:space="0"/>
            </w:tcBorders>
            <w:shd w:val="clear" w:color="auto" w:fill="auto"/>
            <w:vAlign w:val="center"/>
          </w:tcPr>
          <w:p w14:paraId="756708A9">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实际完成率=（实际产出数/计划产出数） × 100%。实际产出数：一定时期（本年度或项目期）内项目实际产出的产品或提供的服务数量。计划产出数：项目绩效目标确定的在一定时期（本年度或项目期）内计划产出的产品或提供的服务数量。</w:t>
            </w:r>
          </w:p>
        </w:tc>
        <w:tc>
          <w:tcPr>
            <w:tcW w:w="1149" w:type="dxa"/>
            <w:tcBorders>
              <w:top w:val="single" w:color="auto" w:sz="4" w:space="0"/>
              <w:left w:val="single" w:color="000000" w:sz="4" w:space="0"/>
              <w:bottom w:val="single" w:color="auto" w:sz="4" w:space="0"/>
              <w:right w:val="single" w:color="000000" w:sz="4" w:space="0"/>
            </w:tcBorders>
            <w:shd w:val="clear" w:color="auto" w:fill="auto"/>
            <w:vAlign w:val="center"/>
          </w:tcPr>
          <w:p w14:paraId="41F4F3B2">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项目资料</w:t>
            </w:r>
          </w:p>
        </w:tc>
        <w:tc>
          <w:tcPr>
            <w:tcW w:w="2085" w:type="dxa"/>
            <w:tcBorders>
              <w:top w:val="single" w:color="auto" w:sz="4" w:space="0"/>
              <w:left w:val="single" w:color="000000" w:sz="4" w:space="0"/>
              <w:bottom w:val="single" w:color="auto" w:sz="4" w:space="0"/>
              <w:right w:val="single" w:color="000000" w:sz="4" w:space="0"/>
            </w:tcBorders>
            <w:shd w:val="clear" w:color="auto" w:fill="auto"/>
            <w:vAlign w:val="center"/>
          </w:tcPr>
          <w:p w14:paraId="69CCC0CA">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依据《关于做好申报超长期特别国债支持住宅老旧电梯更新改造项目有关工作要求》下达超长期特别国债资金390万元用于支持住宅老旧电梯更新改造项目，购买电梯26部，指标完成率100%。综上所述，该指标满分 7 分，得分 7 分。</w:t>
            </w:r>
          </w:p>
        </w:tc>
        <w:tc>
          <w:tcPr>
            <w:tcW w:w="1136" w:type="dxa"/>
            <w:tcBorders>
              <w:top w:val="single" w:color="auto" w:sz="4" w:space="0"/>
              <w:left w:val="single" w:color="000000" w:sz="4" w:space="0"/>
              <w:bottom w:val="single" w:color="auto" w:sz="4" w:space="0"/>
              <w:right w:val="single" w:color="000000" w:sz="4" w:space="0"/>
            </w:tcBorders>
            <w:shd w:val="clear" w:color="auto" w:fill="auto"/>
            <w:vAlign w:val="center"/>
          </w:tcPr>
          <w:p w14:paraId="1C3E025D">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0</w:t>
            </w:r>
          </w:p>
        </w:tc>
        <w:tc>
          <w:tcPr>
            <w:tcW w:w="1136" w:type="dxa"/>
            <w:tcBorders>
              <w:top w:val="single" w:color="auto" w:sz="4" w:space="0"/>
              <w:left w:val="single" w:color="000000" w:sz="4" w:space="0"/>
              <w:bottom w:val="single" w:color="auto" w:sz="4" w:space="0"/>
              <w:right w:val="single" w:color="000000" w:sz="4" w:space="0"/>
            </w:tcBorders>
            <w:shd w:val="clear" w:color="auto" w:fill="auto"/>
            <w:vAlign w:val="center"/>
          </w:tcPr>
          <w:p w14:paraId="2F9EACB1">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7</w:t>
            </w:r>
          </w:p>
        </w:tc>
        <w:tc>
          <w:tcPr>
            <w:tcW w:w="1466" w:type="dxa"/>
            <w:tcBorders>
              <w:top w:val="single" w:color="auto" w:sz="4" w:space="0"/>
              <w:left w:val="single" w:color="000000" w:sz="4" w:space="0"/>
              <w:bottom w:val="single" w:color="auto" w:sz="4" w:space="0"/>
              <w:right w:val="single" w:color="auto" w:sz="4" w:space="0"/>
            </w:tcBorders>
            <w:shd w:val="clear" w:color="auto" w:fill="auto"/>
            <w:vAlign w:val="center"/>
          </w:tcPr>
          <w:p w14:paraId="10BABE4F">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100.00%</w:t>
            </w:r>
          </w:p>
        </w:tc>
      </w:tr>
      <w:tr w14:paraId="35253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0" w:hRule="atLeast"/>
        </w:trPr>
        <w:tc>
          <w:tcPr>
            <w:tcW w:w="747"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0297B784">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15</w:t>
            </w:r>
          </w:p>
        </w:tc>
        <w:tc>
          <w:tcPr>
            <w:tcW w:w="126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F16B719">
            <w:pPr>
              <w:jc w:val="center"/>
              <w:rPr>
                <w:rFonts w:hint="eastAsia" w:ascii="仿宋_GB2312" w:hAnsi="仿宋_GB2312" w:eastAsia="仿宋_GB2312" w:cs="仿宋_GB2312"/>
                <w:i w:val="0"/>
                <w:iCs w:val="0"/>
                <w:color w:val="000000"/>
                <w:sz w:val="22"/>
                <w:szCs w:val="22"/>
                <w:highlight w:val="none"/>
                <w:u w:val="none"/>
              </w:rPr>
            </w:pPr>
          </w:p>
        </w:tc>
        <w:tc>
          <w:tcPr>
            <w:tcW w:w="631" w:type="dxa"/>
            <w:vMerge w:val="restart"/>
            <w:tcBorders>
              <w:top w:val="single" w:color="auto" w:sz="4" w:space="0"/>
              <w:left w:val="single" w:color="000000" w:sz="4" w:space="0"/>
              <w:bottom w:val="single" w:color="auto" w:sz="4" w:space="0"/>
              <w:right w:val="single" w:color="000000" w:sz="4" w:space="0"/>
            </w:tcBorders>
            <w:shd w:val="clear" w:color="auto" w:fill="auto"/>
            <w:textDirection w:val="tbRlV"/>
            <w:vAlign w:val="center"/>
          </w:tcPr>
          <w:p w14:paraId="06941714">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质量指标</w:t>
            </w:r>
          </w:p>
        </w:tc>
        <w:tc>
          <w:tcPr>
            <w:tcW w:w="110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2069FA60">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项目验收合格率</w:t>
            </w:r>
          </w:p>
        </w:tc>
        <w:tc>
          <w:tcPr>
            <w:tcW w:w="885"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4B52EEA4">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7</w:t>
            </w:r>
          </w:p>
        </w:tc>
        <w:tc>
          <w:tcPr>
            <w:tcW w:w="142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3978D112">
            <w:pPr>
              <w:keepNext w:val="0"/>
              <w:keepLines w:val="0"/>
              <w:widowControl/>
              <w:suppressLineNumbers w:val="0"/>
              <w:jc w:val="both"/>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项目完成的质量达标产出数与实际产出数的比率，用以反映和考核项目产出质量目标的实现程度。</w:t>
            </w:r>
          </w:p>
        </w:tc>
        <w:tc>
          <w:tcPr>
            <w:tcW w:w="1183"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4FC04543">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w:t>
            </w:r>
          </w:p>
        </w:tc>
        <w:tc>
          <w:tcPr>
            <w:tcW w:w="1732"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2D28AD1F">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实际完成率=（实际产出数/计划产出数）× 100%。实际产出数：一定时期（本年度或项目期）内项目实际产出的产品或提供的服务数量。计划产出数：项目绩效目标确定的在一定时期（本年度或项目期）内计划产出的产品或提供的服务数量。</w:t>
            </w:r>
          </w:p>
        </w:tc>
        <w:tc>
          <w:tcPr>
            <w:tcW w:w="114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4C3EC4D1">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项目资料</w:t>
            </w:r>
          </w:p>
        </w:tc>
        <w:tc>
          <w:tcPr>
            <w:tcW w:w="2085"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39F706B7">
            <w:pPr>
              <w:keepNext w:val="0"/>
              <w:keepLines w:val="0"/>
              <w:widowControl/>
              <w:suppressLineNumbers w:val="0"/>
              <w:jc w:val="left"/>
              <w:textAlignment w:val="center"/>
              <w:rPr>
                <w:rFonts w:hint="default" w:ascii="仿宋_GB2312" w:hAnsi="仿宋_GB2312" w:eastAsia="仿宋_GB2312" w:cs="仿宋_GB2312"/>
                <w:i w:val="0"/>
                <w:iCs w:val="0"/>
                <w:color w:val="000000"/>
                <w:sz w:val="22"/>
                <w:szCs w:val="22"/>
                <w:highlight w:val="none"/>
                <w:u w:val="none"/>
                <w:lang w:val="en-US"/>
              </w:rPr>
            </w:pPr>
            <w:r>
              <w:rPr>
                <w:rFonts w:hint="eastAsia"/>
                <w:color w:val="000000"/>
                <w:kern w:val="0"/>
                <w:sz w:val="22"/>
                <w:szCs w:val="22"/>
                <w:highlight w:val="none"/>
                <w:u w:val="none"/>
                <w:lang w:bidi="ar"/>
              </w:rPr>
              <w:t>经核查，克拉玛依区住房和城乡建设局已</w:t>
            </w:r>
            <w:r>
              <w:rPr>
                <w:rFonts w:hint="eastAsia"/>
                <w:color w:val="000000"/>
                <w:kern w:val="0"/>
                <w:sz w:val="22"/>
                <w:szCs w:val="22"/>
                <w:highlight w:val="none"/>
                <w:u w:val="none"/>
                <w:lang w:val="en-US" w:eastAsia="zh-CN" w:bidi="ar"/>
              </w:rPr>
              <w:t>提供相应电梯验收报告，</w:t>
            </w:r>
            <w:r>
              <w:rPr>
                <w:rFonts w:hint="eastAsia" w:ascii="仿宋_GB2312" w:hAnsi="仿宋_GB2312" w:eastAsia="仿宋_GB2312" w:cs="仿宋_GB2312"/>
                <w:i w:val="0"/>
                <w:iCs w:val="0"/>
                <w:color w:val="000000"/>
                <w:kern w:val="0"/>
                <w:sz w:val="22"/>
                <w:szCs w:val="22"/>
                <w:highlight w:val="none"/>
                <w:u w:val="none"/>
                <w:lang w:val="en-US" w:eastAsia="zh-CN" w:bidi="ar"/>
              </w:rPr>
              <w:t xml:space="preserve">综上所述，该指标满分 7 分，得分 </w:t>
            </w:r>
            <w:r>
              <w:rPr>
                <w:rFonts w:hint="eastAsia" w:cs="仿宋_GB2312"/>
                <w:i w:val="0"/>
                <w:iCs w:val="0"/>
                <w:color w:val="000000"/>
                <w:kern w:val="0"/>
                <w:sz w:val="22"/>
                <w:szCs w:val="22"/>
                <w:highlight w:val="none"/>
                <w:u w:val="none"/>
                <w:lang w:val="en-US" w:eastAsia="zh-CN" w:bidi="ar"/>
              </w:rPr>
              <w:t>7</w:t>
            </w:r>
            <w:r>
              <w:rPr>
                <w:rFonts w:hint="eastAsia" w:ascii="仿宋_GB2312" w:hAnsi="仿宋_GB2312" w:eastAsia="仿宋_GB2312" w:cs="仿宋_GB2312"/>
                <w:i w:val="0"/>
                <w:iCs w:val="0"/>
                <w:color w:val="000000"/>
                <w:kern w:val="0"/>
                <w:sz w:val="22"/>
                <w:szCs w:val="22"/>
                <w:highlight w:val="none"/>
                <w:u w:val="none"/>
                <w:lang w:val="en-US" w:eastAsia="zh-CN" w:bidi="ar"/>
              </w:rPr>
              <w:t xml:space="preserve"> 分。</w:t>
            </w:r>
          </w:p>
        </w:tc>
        <w:tc>
          <w:tcPr>
            <w:tcW w:w="1136"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0A29D349">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cs="仿宋_GB2312"/>
                <w:i w:val="0"/>
                <w:iCs w:val="0"/>
                <w:color w:val="000000"/>
                <w:kern w:val="0"/>
                <w:sz w:val="22"/>
                <w:szCs w:val="22"/>
                <w:highlight w:val="none"/>
                <w:u w:val="none"/>
                <w:lang w:val="en-US" w:eastAsia="zh-CN" w:bidi="ar"/>
              </w:rPr>
              <w:t>0</w:t>
            </w:r>
          </w:p>
        </w:tc>
        <w:tc>
          <w:tcPr>
            <w:tcW w:w="1136"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374C1A67">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cs="仿宋_GB2312"/>
                <w:i w:val="0"/>
                <w:iCs w:val="0"/>
                <w:color w:val="000000"/>
                <w:kern w:val="0"/>
                <w:sz w:val="22"/>
                <w:szCs w:val="22"/>
                <w:highlight w:val="none"/>
                <w:u w:val="none"/>
                <w:lang w:val="en-US" w:eastAsia="zh-CN" w:bidi="ar"/>
              </w:rPr>
              <w:t>7</w:t>
            </w:r>
          </w:p>
        </w:tc>
        <w:tc>
          <w:tcPr>
            <w:tcW w:w="1466"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2FE33D9D">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cs="仿宋_GB2312"/>
                <w:i w:val="0"/>
                <w:iCs w:val="0"/>
                <w:color w:val="000000"/>
                <w:kern w:val="0"/>
                <w:sz w:val="22"/>
                <w:szCs w:val="22"/>
                <w:highlight w:val="none"/>
                <w:u w:val="none"/>
                <w:lang w:val="en-US" w:eastAsia="zh-CN" w:bidi="ar"/>
              </w:rPr>
              <w:t>100.00</w:t>
            </w:r>
            <w:r>
              <w:rPr>
                <w:rFonts w:hint="eastAsia" w:ascii="仿宋_GB2312" w:hAnsi="仿宋_GB2312" w:eastAsia="仿宋_GB2312" w:cs="仿宋_GB2312"/>
                <w:i w:val="0"/>
                <w:iCs w:val="0"/>
                <w:color w:val="000000"/>
                <w:kern w:val="0"/>
                <w:sz w:val="22"/>
                <w:szCs w:val="22"/>
                <w:highlight w:val="none"/>
                <w:u w:val="none"/>
                <w:lang w:val="en-US" w:eastAsia="zh-CN" w:bidi="ar"/>
              </w:rPr>
              <w:t>%</w:t>
            </w:r>
          </w:p>
        </w:tc>
      </w:tr>
      <w:tr w14:paraId="71521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trPr>
        <w:tc>
          <w:tcPr>
            <w:tcW w:w="747"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F416F1C">
            <w:pPr>
              <w:jc w:val="center"/>
              <w:rPr>
                <w:rFonts w:hint="eastAsia" w:ascii="仿宋_GB2312" w:hAnsi="仿宋_GB2312" w:eastAsia="仿宋_GB2312" w:cs="仿宋_GB2312"/>
                <w:i w:val="0"/>
                <w:iCs w:val="0"/>
                <w:color w:val="000000"/>
                <w:sz w:val="22"/>
                <w:szCs w:val="22"/>
                <w:highlight w:val="none"/>
                <w:u w:val="none"/>
              </w:rPr>
            </w:pPr>
          </w:p>
        </w:tc>
        <w:tc>
          <w:tcPr>
            <w:tcW w:w="126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B2709EB">
            <w:pPr>
              <w:jc w:val="center"/>
              <w:rPr>
                <w:rFonts w:hint="eastAsia" w:ascii="仿宋_GB2312" w:hAnsi="仿宋_GB2312" w:eastAsia="仿宋_GB2312" w:cs="仿宋_GB2312"/>
                <w:i w:val="0"/>
                <w:iCs w:val="0"/>
                <w:color w:val="000000"/>
                <w:sz w:val="22"/>
                <w:szCs w:val="22"/>
                <w:highlight w:val="none"/>
                <w:u w:val="none"/>
              </w:rPr>
            </w:pPr>
          </w:p>
        </w:tc>
        <w:tc>
          <w:tcPr>
            <w:tcW w:w="631" w:type="dxa"/>
            <w:vMerge w:val="continue"/>
            <w:tcBorders>
              <w:top w:val="single" w:color="auto" w:sz="4" w:space="0"/>
              <w:left w:val="single" w:color="000000" w:sz="4" w:space="0"/>
              <w:bottom w:val="single" w:color="auto" w:sz="4" w:space="0"/>
              <w:right w:val="single" w:color="000000" w:sz="4" w:space="0"/>
            </w:tcBorders>
            <w:shd w:val="clear" w:color="auto" w:fill="auto"/>
            <w:textDirection w:val="tbRlV"/>
            <w:vAlign w:val="center"/>
          </w:tcPr>
          <w:p w14:paraId="1207D5F6">
            <w:pPr>
              <w:jc w:val="center"/>
              <w:rPr>
                <w:rFonts w:hint="eastAsia" w:ascii="仿宋_GB2312" w:hAnsi="仿宋_GB2312" w:eastAsia="仿宋_GB2312" w:cs="仿宋_GB2312"/>
                <w:i w:val="0"/>
                <w:iCs w:val="0"/>
                <w:color w:val="000000"/>
                <w:sz w:val="22"/>
                <w:szCs w:val="22"/>
                <w:highlight w:val="none"/>
                <w:u w:val="none"/>
              </w:rPr>
            </w:pPr>
          </w:p>
        </w:tc>
        <w:tc>
          <w:tcPr>
            <w:tcW w:w="110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928A946">
            <w:pPr>
              <w:jc w:val="center"/>
              <w:rPr>
                <w:rFonts w:hint="eastAsia" w:ascii="仿宋_GB2312" w:hAnsi="仿宋_GB2312" w:eastAsia="仿宋_GB2312" w:cs="仿宋_GB2312"/>
                <w:i w:val="0"/>
                <w:iCs w:val="0"/>
                <w:color w:val="000000"/>
                <w:sz w:val="22"/>
                <w:szCs w:val="22"/>
                <w:highlight w:val="none"/>
                <w:u w:val="none"/>
              </w:rPr>
            </w:pPr>
          </w:p>
        </w:tc>
        <w:tc>
          <w:tcPr>
            <w:tcW w:w="88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B7A6559">
            <w:pPr>
              <w:jc w:val="center"/>
              <w:rPr>
                <w:rFonts w:hint="eastAsia" w:ascii="仿宋_GB2312" w:hAnsi="仿宋_GB2312" w:eastAsia="仿宋_GB2312" w:cs="仿宋_GB2312"/>
                <w:i w:val="0"/>
                <w:iCs w:val="0"/>
                <w:color w:val="000000"/>
                <w:sz w:val="22"/>
                <w:szCs w:val="22"/>
                <w:highlight w:val="none"/>
                <w:u w:val="none"/>
              </w:rPr>
            </w:pPr>
          </w:p>
        </w:tc>
        <w:tc>
          <w:tcPr>
            <w:tcW w:w="142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7F28C0F">
            <w:pPr>
              <w:jc w:val="center"/>
              <w:rPr>
                <w:rFonts w:hint="eastAsia" w:ascii="仿宋_GB2312" w:hAnsi="仿宋_GB2312" w:eastAsia="仿宋_GB2312" w:cs="仿宋_GB2312"/>
                <w:i w:val="0"/>
                <w:iCs w:val="0"/>
                <w:color w:val="000000"/>
                <w:sz w:val="22"/>
                <w:szCs w:val="22"/>
                <w:highlight w:val="none"/>
                <w:u w:val="none"/>
              </w:rPr>
            </w:pPr>
          </w:p>
        </w:tc>
        <w:tc>
          <w:tcPr>
            <w:tcW w:w="118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97D5420">
            <w:pPr>
              <w:jc w:val="center"/>
              <w:rPr>
                <w:rFonts w:hint="eastAsia" w:ascii="仿宋_GB2312" w:hAnsi="仿宋_GB2312" w:eastAsia="仿宋_GB2312" w:cs="仿宋_GB2312"/>
                <w:i w:val="0"/>
                <w:iCs w:val="0"/>
                <w:color w:val="000000"/>
                <w:sz w:val="22"/>
                <w:szCs w:val="22"/>
                <w:highlight w:val="none"/>
                <w:u w:val="none"/>
              </w:rPr>
            </w:pPr>
          </w:p>
        </w:tc>
        <w:tc>
          <w:tcPr>
            <w:tcW w:w="173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2274110">
            <w:pPr>
              <w:jc w:val="center"/>
              <w:rPr>
                <w:rFonts w:hint="eastAsia" w:ascii="仿宋_GB2312" w:hAnsi="仿宋_GB2312" w:eastAsia="仿宋_GB2312" w:cs="仿宋_GB2312"/>
                <w:i w:val="0"/>
                <w:iCs w:val="0"/>
                <w:color w:val="000000"/>
                <w:sz w:val="22"/>
                <w:szCs w:val="22"/>
                <w:highlight w:val="none"/>
                <w:u w:val="none"/>
              </w:rPr>
            </w:pPr>
          </w:p>
        </w:tc>
        <w:tc>
          <w:tcPr>
            <w:tcW w:w="114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6251DDE">
            <w:pPr>
              <w:jc w:val="center"/>
              <w:rPr>
                <w:rFonts w:hint="eastAsia" w:ascii="仿宋_GB2312" w:hAnsi="仿宋_GB2312" w:eastAsia="仿宋_GB2312" w:cs="仿宋_GB2312"/>
                <w:i w:val="0"/>
                <w:iCs w:val="0"/>
                <w:color w:val="000000"/>
                <w:sz w:val="22"/>
                <w:szCs w:val="22"/>
                <w:highlight w:val="none"/>
                <w:u w:val="none"/>
              </w:rPr>
            </w:pPr>
          </w:p>
        </w:tc>
        <w:tc>
          <w:tcPr>
            <w:tcW w:w="208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568E30D">
            <w:pPr>
              <w:jc w:val="left"/>
              <w:rPr>
                <w:rFonts w:hint="eastAsia" w:ascii="仿宋_GB2312" w:hAnsi="仿宋_GB2312" w:eastAsia="仿宋_GB2312" w:cs="仿宋_GB2312"/>
                <w:i w:val="0"/>
                <w:iCs w:val="0"/>
                <w:color w:val="000000"/>
                <w:sz w:val="22"/>
                <w:szCs w:val="22"/>
                <w:highlight w:val="none"/>
                <w:u w:val="none"/>
              </w:rPr>
            </w:pPr>
          </w:p>
        </w:tc>
        <w:tc>
          <w:tcPr>
            <w:tcW w:w="1136"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29AB8B4">
            <w:pPr>
              <w:jc w:val="center"/>
              <w:rPr>
                <w:rFonts w:hint="eastAsia" w:ascii="仿宋_GB2312" w:hAnsi="仿宋_GB2312" w:eastAsia="仿宋_GB2312" w:cs="仿宋_GB2312"/>
                <w:i w:val="0"/>
                <w:iCs w:val="0"/>
                <w:color w:val="000000"/>
                <w:sz w:val="22"/>
                <w:szCs w:val="22"/>
                <w:highlight w:val="none"/>
                <w:u w:val="none"/>
              </w:rPr>
            </w:pPr>
          </w:p>
        </w:tc>
        <w:tc>
          <w:tcPr>
            <w:tcW w:w="1136"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1B662FD">
            <w:pPr>
              <w:jc w:val="center"/>
              <w:rPr>
                <w:rFonts w:hint="eastAsia" w:ascii="仿宋_GB2312" w:hAnsi="仿宋_GB2312" w:eastAsia="仿宋_GB2312" w:cs="仿宋_GB2312"/>
                <w:i w:val="0"/>
                <w:iCs w:val="0"/>
                <w:color w:val="000000"/>
                <w:sz w:val="22"/>
                <w:szCs w:val="22"/>
                <w:highlight w:val="none"/>
                <w:u w:val="none"/>
              </w:rPr>
            </w:pPr>
          </w:p>
        </w:tc>
        <w:tc>
          <w:tcPr>
            <w:tcW w:w="1466"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050F30F">
            <w:pPr>
              <w:jc w:val="center"/>
              <w:rPr>
                <w:rFonts w:hint="eastAsia" w:ascii="仿宋_GB2312" w:hAnsi="仿宋_GB2312" w:eastAsia="仿宋_GB2312" w:cs="仿宋_GB2312"/>
                <w:i w:val="0"/>
                <w:iCs w:val="0"/>
                <w:color w:val="000000"/>
                <w:sz w:val="22"/>
                <w:szCs w:val="22"/>
                <w:highlight w:val="none"/>
                <w:u w:val="none"/>
              </w:rPr>
            </w:pPr>
          </w:p>
        </w:tc>
      </w:tr>
      <w:tr w14:paraId="09ADE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9" w:hRule="atLeast"/>
        </w:trPr>
        <w:tc>
          <w:tcPr>
            <w:tcW w:w="747" w:type="dxa"/>
            <w:tcBorders>
              <w:top w:val="single" w:color="auto" w:sz="4" w:space="0"/>
              <w:left w:val="single" w:color="auto" w:sz="4" w:space="0"/>
              <w:bottom w:val="single" w:color="auto" w:sz="4" w:space="0"/>
              <w:right w:val="single" w:color="000000" w:sz="4" w:space="0"/>
            </w:tcBorders>
            <w:shd w:val="clear" w:color="auto" w:fill="auto"/>
            <w:vAlign w:val="center"/>
          </w:tcPr>
          <w:p w14:paraId="151D606B">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16</w:t>
            </w:r>
          </w:p>
        </w:tc>
        <w:tc>
          <w:tcPr>
            <w:tcW w:w="126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C1C28F0">
            <w:pPr>
              <w:jc w:val="center"/>
              <w:rPr>
                <w:rFonts w:hint="eastAsia" w:ascii="仿宋_GB2312" w:hAnsi="仿宋_GB2312" w:eastAsia="仿宋_GB2312" w:cs="仿宋_GB2312"/>
                <w:i w:val="0"/>
                <w:iCs w:val="0"/>
                <w:color w:val="000000"/>
                <w:sz w:val="22"/>
                <w:szCs w:val="22"/>
                <w:highlight w:val="none"/>
                <w:u w:val="none"/>
              </w:rPr>
            </w:pPr>
          </w:p>
        </w:tc>
        <w:tc>
          <w:tcPr>
            <w:tcW w:w="631" w:type="dxa"/>
            <w:vMerge w:val="continue"/>
            <w:tcBorders>
              <w:top w:val="single" w:color="auto" w:sz="4" w:space="0"/>
              <w:left w:val="single" w:color="000000" w:sz="4" w:space="0"/>
              <w:bottom w:val="single" w:color="auto" w:sz="4" w:space="0"/>
              <w:right w:val="single" w:color="000000" w:sz="4" w:space="0"/>
            </w:tcBorders>
            <w:shd w:val="clear" w:color="auto" w:fill="auto"/>
            <w:textDirection w:val="tbRlV"/>
            <w:vAlign w:val="center"/>
          </w:tcPr>
          <w:p w14:paraId="20221E4C">
            <w:pPr>
              <w:jc w:val="center"/>
              <w:rPr>
                <w:rFonts w:hint="eastAsia" w:ascii="仿宋_GB2312" w:hAnsi="仿宋_GB2312" w:eastAsia="仿宋_GB2312" w:cs="仿宋_GB2312"/>
                <w:i w:val="0"/>
                <w:iCs w:val="0"/>
                <w:color w:val="000000"/>
                <w:sz w:val="22"/>
                <w:szCs w:val="22"/>
                <w:highlight w:val="none"/>
                <w:u w:val="none"/>
              </w:rPr>
            </w:pPr>
          </w:p>
        </w:tc>
        <w:tc>
          <w:tcPr>
            <w:tcW w:w="1109" w:type="dxa"/>
            <w:tcBorders>
              <w:top w:val="single" w:color="auto" w:sz="4" w:space="0"/>
              <w:left w:val="single" w:color="000000" w:sz="4" w:space="0"/>
              <w:bottom w:val="single" w:color="auto" w:sz="4" w:space="0"/>
              <w:right w:val="single" w:color="000000" w:sz="4" w:space="0"/>
            </w:tcBorders>
            <w:shd w:val="clear" w:color="auto" w:fill="auto"/>
            <w:vAlign w:val="center"/>
          </w:tcPr>
          <w:p w14:paraId="0EA8B141">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政府采购率</w:t>
            </w:r>
          </w:p>
        </w:tc>
        <w:tc>
          <w:tcPr>
            <w:tcW w:w="885" w:type="dxa"/>
            <w:tcBorders>
              <w:top w:val="single" w:color="auto" w:sz="4" w:space="0"/>
              <w:left w:val="single" w:color="000000" w:sz="4" w:space="0"/>
              <w:bottom w:val="single" w:color="auto" w:sz="4" w:space="0"/>
              <w:right w:val="single" w:color="000000" w:sz="4" w:space="0"/>
            </w:tcBorders>
            <w:shd w:val="clear" w:color="auto" w:fill="auto"/>
            <w:vAlign w:val="center"/>
          </w:tcPr>
          <w:p w14:paraId="003520FE">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7</w:t>
            </w:r>
          </w:p>
        </w:tc>
        <w:tc>
          <w:tcPr>
            <w:tcW w:w="1429" w:type="dxa"/>
            <w:tcBorders>
              <w:top w:val="single" w:color="auto" w:sz="4" w:space="0"/>
              <w:left w:val="single" w:color="000000" w:sz="4" w:space="0"/>
              <w:bottom w:val="single" w:color="auto" w:sz="4" w:space="0"/>
              <w:right w:val="single" w:color="000000" w:sz="4" w:space="0"/>
            </w:tcBorders>
            <w:shd w:val="clear" w:color="auto" w:fill="auto"/>
            <w:vAlign w:val="center"/>
          </w:tcPr>
          <w:p w14:paraId="33308755">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项目完成的质量达标产出数与实际产出数的比率，用以反映和考核项目产出质量目标的实现程度。</w:t>
            </w:r>
          </w:p>
        </w:tc>
        <w:tc>
          <w:tcPr>
            <w:tcW w:w="1183" w:type="dxa"/>
            <w:tcBorders>
              <w:top w:val="single" w:color="auto" w:sz="4" w:space="0"/>
              <w:left w:val="single" w:color="000000" w:sz="4" w:space="0"/>
              <w:bottom w:val="single" w:color="auto" w:sz="4" w:space="0"/>
              <w:right w:val="single" w:color="000000" w:sz="4" w:space="0"/>
            </w:tcBorders>
            <w:shd w:val="clear" w:color="auto" w:fill="auto"/>
            <w:vAlign w:val="center"/>
          </w:tcPr>
          <w:p w14:paraId="55D25D88">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w:t>
            </w:r>
          </w:p>
        </w:tc>
        <w:tc>
          <w:tcPr>
            <w:tcW w:w="1732" w:type="dxa"/>
            <w:tcBorders>
              <w:top w:val="single" w:color="auto" w:sz="4" w:space="0"/>
              <w:left w:val="single" w:color="000000" w:sz="4" w:space="0"/>
              <w:bottom w:val="single" w:color="auto" w:sz="4" w:space="0"/>
              <w:right w:val="single" w:color="000000" w:sz="4" w:space="0"/>
            </w:tcBorders>
            <w:shd w:val="clear" w:color="auto" w:fill="auto"/>
            <w:vAlign w:val="center"/>
          </w:tcPr>
          <w:p w14:paraId="19A43FB3">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实际完成率=（实际产出数/计划产出数）× 100%。实际产出数：一定时期（本年度或项目期）内项目实际产出的产品或提供的服务数量。计划产出数：项目绩效目标确定的在一定时期（本年度或项目期）内计划产出的产品或提供的服务数量。</w:t>
            </w:r>
          </w:p>
        </w:tc>
        <w:tc>
          <w:tcPr>
            <w:tcW w:w="1149" w:type="dxa"/>
            <w:tcBorders>
              <w:top w:val="single" w:color="auto" w:sz="4" w:space="0"/>
              <w:left w:val="single" w:color="000000" w:sz="4" w:space="0"/>
              <w:bottom w:val="single" w:color="auto" w:sz="4" w:space="0"/>
              <w:right w:val="single" w:color="000000" w:sz="4" w:space="0"/>
            </w:tcBorders>
            <w:shd w:val="clear" w:color="auto" w:fill="auto"/>
            <w:vAlign w:val="center"/>
          </w:tcPr>
          <w:p w14:paraId="1C224995">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项目资料</w:t>
            </w:r>
          </w:p>
        </w:tc>
        <w:tc>
          <w:tcPr>
            <w:tcW w:w="2085" w:type="dxa"/>
            <w:tcBorders>
              <w:top w:val="single" w:color="auto" w:sz="4" w:space="0"/>
              <w:left w:val="single" w:color="000000" w:sz="4" w:space="0"/>
              <w:bottom w:val="single" w:color="auto" w:sz="4" w:space="0"/>
              <w:right w:val="single" w:color="000000" w:sz="4" w:space="0"/>
            </w:tcBorders>
            <w:shd w:val="clear" w:color="auto" w:fill="auto"/>
            <w:vAlign w:val="center"/>
          </w:tcPr>
          <w:p w14:paraId="246CE695">
            <w:pPr>
              <w:keepNext w:val="0"/>
              <w:keepLines w:val="0"/>
              <w:widowControl/>
              <w:suppressLineNumbers w:val="0"/>
              <w:jc w:val="left"/>
              <w:textAlignment w:val="center"/>
              <w:rPr>
                <w:rFonts w:hint="default" w:ascii="仿宋_GB2312" w:hAnsi="仿宋_GB2312" w:eastAsia="仿宋_GB2312" w:cs="仿宋_GB2312"/>
                <w:i w:val="0"/>
                <w:iCs w:val="0"/>
                <w:color w:val="000000"/>
                <w:sz w:val="22"/>
                <w:szCs w:val="22"/>
                <w:highlight w:val="none"/>
                <w:u w:val="none"/>
                <w:lang w:val="en-US"/>
              </w:rPr>
            </w:pPr>
            <w:r>
              <w:rPr>
                <w:rFonts w:hint="eastAsia" w:ascii="仿宋_GB2312" w:hAnsi="仿宋_GB2312" w:eastAsia="仿宋_GB2312" w:cs="仿宋_GB2312"/>
                <w:i w:val="0"/>
                <w:iCs w:val="0"/>
                <w:color w:val="000000"/>
                <w:kern w:val="0"/>
                <w:sz w:val="22"/>
                <w:szCs w:val="22"/>
                <w:highlight w:val="none"/>
                <w:u w:val="none"/>
                <w:lang w:val="en-US" w:eastAsia="zh-CN" w:bidi="ar"/>
              </w:rPr>
              <w:t>因本项目不属于政府采购，所以此指标不适用。</w:t>
            </w:r>
          </w:p>
        </w:tc>
        <w:tc>
          <w:tcPr>
            <w:tcW w:w="1136" w:type="dxa"/>
            <w:tcBorders>
              <w:top w:val="single" w:color="auto" w:sz="4" w:space="0"/>
              <w:left w:val="single" w:color="000000" w:sz="4" w:space="0"/>
              <w:bottom w:val="single" w:color="auto" w:sz="4" w:space="0"/>
              <w:right w:val="single" w:color="000000" w:sz="4" w:space="0"/>
            </w:tcBorders>
            <w:shd w:val="clear" w:color="auto" w:fill="auto"/>
            <w:vAlign w:val="center"/>
          </w:tcPr>
          <w:p w14:paraId="517555A6">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cs="仿宋_GB2312"/>
                <w:i w:val="0"/>
                <w:iCs w:val="0"/>
                <w:color w:val="000000"/>
                <w:kern w:val="0"/>
                <w:sz w:val="22"/>
                <w:szCs w:val="22"/>
                <w:highlight w:val="none"/>
                <w:u w:val="none"/>
                <w:lang w:val="en-US" w:eastAsia="zh-CN" w:bidi="ar"/>
              </w:rPr>
              <w:t>0</w:t>
            </w:r>
          </w:p>
        </w:tc>
        <w:tc>
          <w:tcPr>
            <w:tcW w:w="1136" w:type="dxa"/>
            <w:tcBorders>
              <w:top w:val="single" w:color="auto" w:sz="4" w:space="0"/>
              <w:left w:val="single" w:color="000000" w:sz="4" w:space="0"/>
              <w:bottom w:val="single" w:color="auto" w:sz="4" w:space="0"/>
              <w:right w:val="single" w:color="000000" w:sz="4" w:space="0"/>
            </w:tcBorders>
            <w:shd w:val="clear" w:color="auto" w:fill="auto"/>
            <w:vAlign w:val="center"/>
          </w:tcPr>
          <w:p w14:paraId="7F144EEE">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cs="仿宋_GB2312"/>
                <w:i w:val="0"/>
                <w:iCs w:val="0"/>
                <w:color w:val="000000"/>
                <w:kern w:val="0"/>
                <w:sz w:val="22"/>
                <w:szCs w:val="22"/>
                <w:highlight w:val="none"/>
                <w:u w:val="none"/>
                <w:lang w:val="en-US" w:eastAsia="zh-CN" w:bidi="ar"/>
              </w:rPr>
              <w:t>7</w:t>
            </w:r>
          </w:p>
        </w:tc>
        <w:tc>
          <w:tcPr>
            <w:tcW w:w="1466" w:type="dxa"/>
            <w:tcBorders>
              <w:top w:val="single" w:color="auto" w:sz="4" w:space="0"/>
              <w:left w:val="single" w:color="000000" w:sz="4" w:space="0"/>
              <w:bottom w:val="single" w:color="auto" w:sz="4" w:space="0"/>
              <w:right w:val="single" w:color="auto" w:sz="4" w:space="0"/>
            </w:tcBorders>
            <w:shd w:val="clear" w:color="auto" w:fill="auto"/>
            <w:vAlign w:val="center"/>
          </w:tcPr>
          <w:p w14:paraId="77992CA1">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cs="仿宋_GB2312"/>
                <w:i w:val="0"/>
                <w:iCs w:val="0"/>
                <w:color w:val="000000"/>
                <w:kern w:val="0"/>
                <w:sz w:val="22"/>
                <w:szCs w:val="22"/>
                <w:highlight w:val="none"/>
                <w:u w:val="none"/>
                <w:lang w:val="en-US" w:eastAsia="zh-CN" w:bidi="ar"/>
              </w:rPr>
              <w:t>100.00</w:t>
            </w:r>
            <w:r>
              <w:rPr>
                <w:rFonts w:hint="eastAsia" w:ascii="仿宋_GB2312" w:hAnsi="仿宋_GB2312" w:eastAsia="仿宋_GB2312" w:cs="仿宋_GB2312"/>
                <w:i w:val="0"/>
                <w:iCs w:val="0"/>
                <w:color w:val="000000"/>
                <w:kern w:val="0"/>
                <w:sz w:val="22"/>
                <w:szCs w:val="22"/>
                <w:highlight w:val="none"/>
                <w:u w:val="none"/>
                <w:lang w:val="en-US" w:eastAsia="zh-CN" w:bidi="ar"/>
              </w:rPr>
              <w:t>%</w:t>
            </w:r>
          </w:p>
        </w:tc>
      </w:tr>
      <w:tr w14:paraId="5CF38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37" w:hRule="atLeast"/>
        </w:trPr>
        <w:tc>
          <w:tcPr>
            <w:tcW w:w="747" w:type="dxa"/>
            <w:tcBorders>
              <w:top w:val="single" w:color="auto" w:sz="4" w:space="0"/>
              <w:left w:val="single" w:color="auto" w:sz="4" w:space="0"/>
              <w:bottom w:val="single" w:color="auto" w:sz="4" w:space="0"/>
              <w:right w:val="single" w:color="000000" w:sz="4" w:space="0"/>
            </w:tcBorders>
            <w:shd w:val="clear" w:color="auto" w:fill="auto"/>
            <w:vAlign w:val="center"/>
          </w:tcPr>
          <w:p w14:paraId="2D2E17BE">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17</w:t>
            </w:r>
          </w:p>
        </w:tc>
        <w:tc>
          <w:tcPr>
            <w:tcW w:w="126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E9ACF99">
            <w:pPr>
              <w:jc w:val="center"/>
              <w:rPr>
                <w:rFonts w:hint="eastAsia" w:ascii="仿宋_GB2312" w:hAnsi="仿宋_GB2312" w:eastAsia="仿宋_GB2312" w:cs="仿宋_GB2312"/>
                <w:i w:val="0"/>
                <w:iCs w:val="0"/>
                <w:color w:val="000000"/>
                <w:sz w:val="22"/>
                <w:szCs w:val="22"/>
                <w:highlight w:val="none"/>
                <w:u w:val="none"/>
              </w:rPr>
            </w:pPr>
          </w:p>
        </w:tc>
        <w:tc>
          <w:tcPr>
            <w:tcW w:w="631" w:type="dxa"/>
            <w:vMerge w:val="continue"/>
            <w:tcBorders>
              <w:top w:val="single" w:color="auto" w:sz="4" w:space="0"/>
              <w:left w:val="single" w:color="000000" w:sz="4" w:space="0"/>
              <w:bottom w:val="single" w:color="auto" w:sz="4" w:space="0"/>
              <w:right w:val="single" w:color="000000" w:sz="4" w:space="0"/>
            </w:tcBorders>
            <w:shd w:val="clear" w:color="auto" w:fill="auto"/>
            <w:textDirection w:val="tbRlV"/>
            <w:vAlign w:val="center"/>
          </w:tcPr>
          <w:p w14:paraId="23A8EE3C">
            <w:pPr>
              <w:jc w:val="center"/>
              <w:rPr>
                <w:rFonts w:hint="eastAsia" w:ascii="仿宋_GB2312" w:hAnsi="仿宋_GB2312" w:eastAsia="仿宋_GB2312" w:cs="仿宋_GB2312"/>
                <w:i w:val="0"/>
                <w:iCs w:val="0"/>
                <w:color w:val="000000"/>
                <w:sz w:val="22"/>
                <w:szCs w:val="22"/>
                <w:highlight w:val="none"/>
                <w:u w:val="none"/>
              </w:rPr>
            </w:pPr>
          </w:p>
        </w:tc>
        <w:tc>
          <w:tcPr>
            <w:tcW w:w="1109" w:type="dxa"/>
            <w:tcBorders>
              <w:top w:val="single" w:color="auto" w:sz="4" w:space="0"/>
              <w:left w:val="single" w:color="000000" w:sz="4" w:space="0"/>
              <w:bottom w:val="single" w:color="auto" w:sz="4" w:space="0"/>
              <w:right w:val="single" w:color="000000" w:sz="4" w:space="0"/>
            </w:tcBorders>
            <w:shd w:val="clear" w:color="auto" w:fill="auto"/>
            <w:vAlign w:val="center"/>
          </w:tcPr>
          <w:p w14:paraId="1ECE8699">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设备质量合格率</w:t>
            </w:r>
          </w:p>
        </w:tc>
        <w:tc>
          <w:tcPr>
            <w:tcW w:w="885" w:type="dxa"/>
            <w:tcBorders>
              <w:top w:val="single" w:color="auto" w:sz="4" w:space="0"/>
              <w:left w:val="single" w:color="000000" w:sz="4" w:space="0"/>
              <w:bottom w:val="single" w:color="auto" w:sz="4" w:space="0"/>
              <w:right w:val="single" w:color="000000" w:sz="4" w:space="0"/>
            </w:tcBorders>
            <w:shd w:val="clear" w:color="auto" w:fill="auto"/>
            <w:vAlign w:val="center"/>
          </w:tcPr>
          <w:p w14:paraId="5E99C3D5">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7</w:t>
            </w:r>
          </w:p>
        </w:tc>
        <w:tc>
          <w:tcPr>
            <w:tcW w:w="1429" w:type="dxa"/>
            <w:tcBorders>
              <w:top w:val="single" w:color="auto" w:sz="4" w:space="0"/>
              <w:left w:val="single" w:color="000000" w:sz="4" w:space="0"/>
              <w:bottom w:val="single" w:color="auto" w:sz="4" w:space="0"/>
              <w:right w:val="single" w:color="000000" w:sz="4" w:space="0"/>
            </w:tcBorders>
            <w:shd w:val="clear" w:color="auto" w:fill="auto"/>
            <w:vAlign w:val="center"/>
          </w:tcPr>
          <w:p w14:paraId="61C2BECC">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项目完成的质量达标产出数与实际产出数的比率，用以反映和考核项目产出质量目标的实现程度。</w:t>
            </w:r>
          </w:p>
        </w:tc>
        <w:tc>
          <w:tcPr>
            <w:tcW w:w="1183" w:type="dxa"/>
            <w:tcBorders>
              <w:top w:val="single" w:color="auto" w:sz="4" w:space="0"/>
              <w:left w:val="single" w:color="000000" w:sz="4" w:space="0"/>
              <w:bottom w:val="single" w:color="auto" w:sz="4" w:space="0"/>
              <w:right w:val="single" w:color="000000" w:sz="4" w:space="0"/>
            </w:tcBorders>
            <w:shd w:val="clear" w:color="auto" w:fill="auto"/>
            <w:vAlign w:val="center"/>
          </w:tcPr>
          <w:p w14:paraId="5FC187C5">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w:t>
            </w:r>
          </w:p>
        </w:tc>
        <w:tc>
          <w:tcPr>
            <w:tcW w:w="1732" w:type="dxa"/>
            <w:tcBorders>
              <w:top w:val="single" w:color="auto" w:sz="4" w:space="0"/>
              <w:left w:val="single" w:color="000000" w:sz="4" w:space="0"/>
              <w:bottom w:val="single" w:color="auto" w:sz="4" w:space="0"/>
              <w:right w:val="single" w:color="000000" w:sz="4" w:space="0"/>
            </w:tcBorders>
            <w:shd w:val="clear" w:color="auto" w:fill="auto"/>
            <w:vAlign w:val="center"/>
          </w:tcPr>
          <w:p w14:paraId="4A8C40CC">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质量达标率=（质量达标产出数/ 实际产出数） × 100%</w:t>
            </w:r>
            <w:r>
              <w:rPr>
                <w:rFonts w:hint="eastAsia" w:ascii="仿宋_GB2312" w:hAnsi="仿宋_GB2312" w:eastAsia="仿宋_GB2312" w:cs="仿宋_GB2312"/>
                <w:i w:val="0"/>
                <w:iCs w:val="0"/>
                <w:color w:val="000000"/>
                <w:kern w:val="0"/>
                <w:sz w:val="22"/>
                <w:szCs w:val="22"/>
                <w:highlight w:val="none"/>
                <w:u w:val="none"/>
                <w:lang w:val="en-US" w:eastAsia="zh-CN" w:bidi="ar"/>
              </w:rPr>
              <w:br w:type="textWrapping"/>
            </w:r>
            <w:r>
              <w:rPr>
                <w:rFonts w:hint="eastAsia" w:ascii="仿宋_GB2312" w:hAnsi="仿宋_GB2312" w:eastAsia="仿宋_GB2312" w:cs="仿宋_GB2312"/>
                <w:i w:val="0"/>
                <w:iCs w:val="0"/>
                <w:color w:val="000000"/>
                <w:kern w:val="0"/>
                <w:sz w:val="22"/>
                <w:szCs w:val="22"/>
                <w:highlight w:val="none"/>
                <w:u w:val="none"/>
                <w:lang w:val="en-US" w:eastAsia="zh-CN" w:bidi="ar"/>
              </w:rPr>
              <w:t>质量达标产出数：一定时期（本年度或项目期）内实际达到既定质量标准的产品或服务数量。既定质量标准是指项目实施单位设立绩效目标时依据计划标准、行业标准、历史标准或其他标准而设定的绩效指标值。</w:t>
            </w:r>
          </w:p>
        </w:tc>
        <w:tc>
          <w:tcPr>
            <w:tcW w:w="1149" w:type="dxa"/>
            <w:tcBorders>
              <w:top w:val="single" w:color="auto" w:sz="4" w:space="0"/>
              <w:left w:val="single" w:color="000000" w:sz="4" w:space="0"/>
              <w:bottom w:val="single" w:color="auto" w:sz="4" w:space="0"/>
              <w:right w:val="single" w:color="000000" w:sz="4" w:space="0"/>
            </w:tcBorders>
            <w:shd w:val="clear" w:color="auto" w:fill="auto"/>
            <w:vAlign w:val="center"/>
          </w:tcPr>
          <w:p w14:paraId="30531C9E">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项目资料</w:t>
            </w:r>
          </w:p>
        </w:tc>
        <w:tc>
          <w:tcPr>
            <w:tcW w:w="2085" w:type="dxa"/>
            <w:tcBorders>
              <w:top w:val="single" w:color="auto" w:sz="4" w:space="0"/>
              <w:left w:val="single" w:color="000000" w:sz="4" w:space="0"/>
              <w:bottom w:val="single" w:color="auto" w:sz="4" w:space="0"/>
              <w:right w:val="single" w:color="000000" w:sz="4" w:space="0"/>
            </w:tcBorders>
            <w:shd w:val="clear" w:color="auto" w:fill="auto"/>
            <w:vAlign w:val="center"/>
          </w:tcPr>
          <w:p w14:paraId="18614740">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经过对电梯监督检验报告及特种设备使用登记证核查可知，设备质量合格率为100%，指标完成度100%。综上所述，该指标满分 7 分，得分 7 分。</w:t>
            </w:r>
          </w:p>
        </w:tc>
        <w:tc>
          <w:tcPr>
            <w:tcW w:w="1136" w:type="dxa"/>
            <w:tcBorders>
              <w:top w:val="single" w:color="auto" w:sz="4" w:space="0"/>
              <w:left w:val="single" w:color="000000" w:sz="4" w:space="0"/>
              <w:bottom w:val="single" w:color="auto" w:sz="4" w:space="0"/>
              <w:right w:val="single" w:color="000000" w:sz="4" w:space="0"/>
            </w:tcBorders>
            <w:shd w:val="clear" w:color="auto" w:fill="auto"/>
            <w:vAlign w:val="center"/>
          </w:tcPr>
          <w:p w14:paraId="69A35099">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0</w:t>
            </w:r>
          </w:p>
        </w:tc>
        <w:tc>
          <w:tcPr>
            <w:tcW w:w="1136" w:type="dxa"/>
            <w:tcBorders>
              <w:top w:val="single" w:color="auto" w:sz="4" w:space="0"/>
              <w:left w:val="single" w:color="000000" w:sz="4" w:space="0"/>
              <w:bottom w:val="single" w:color="auto" w:sz="4" w:space="0"/>
              <w:right w:val="single" w:color="000000" w:sz="4" w:space="0"/>
            </w:tcBorders>
            <w:shd w:val="clear" w:color="auto" w:fill="auto"/>
            <w:vAlign w:val="center"/>
          </w:tcPr>
          <w:p w14:paraId="75000401">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7</w:t>
            </w:r>
          </w:p>
        </w:tc>
        <w:tc>
          <w:tcPr>
            <w:tcW w:w="1466" w:type="dxa"/>
            <w:tcBorders>
              <w:top w:val="single" w:color="auto" w:sz="4" w:space="0"/>
              <w:left w:val="single" w:color="000000" w:sz="4" w:space="0"/>
              <w:bottom w:val="single" w:color="auto" w:sz="4" w:space="0"/>
              <w:right w:val="single" w:color="auto" w:sz="4" w:space="0"/>
            </w:tcBorders>
            <w:shd w:val="clear" w:color="auto" w:fill="auto"/>
            <w:vAlign w:val="center"/>
          </w:tcPr>
          <w:p w14:paraId="303100F4">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100.00%</w:t>
            </w:r>
          </w:p>
        </w:tc>
      </w:tr>
      <w:tr w14:paraId="10797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3" w:hRule="atLeast"/>
        </w:trPr>
        <w:tc>
          <w:tcPr>
            <w:tcW w:w="747" w:type="dxa"/>
            <w:tcBorders>
              <w:top w:val="single" w:color="auto" w:sz="4" w:space="0"/>
              <w:left w:val="single" w:color="000000" w:sz="4" w:space="0"/>
              <w:bottom w:val="single" w:color="auto" w:sz="4" w:space="0"/>
              <w:right w:val="single" w:color="000000" w:sz="4" w:space="0"/>
            </w:tcBorders>
            <w:shd w:val="clear" w:color="auto" w:fill="auto"/>
            <w:vAlign w:val="center"/>
          </w:tcPr>
          <w:p w14:paraId="2C59CDD1">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18</w:t>
            </w:r>
          </w:p>
        </w:tc>
        <w:tc>
          <w:tcPr>
            <w:tcW w:w="126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3837C8E">
            <w:pPr>
              <w:jc w:val="center"/>
              <w:rPr>
                <w:rFonts w:hint="eastAsia" w:ascii="仿宋_GB2312" w:hAnsi="仿宋_GB2312" w:eastAsia="仿宋_GB2312" w:cs="仿宋_GB2312"/>
                <w:i w:val="0"/>
                <w:iCs w:val="0"/>
                <w:color w:val="000000"/>
                <w:sz w:val="22"/>
                <w:szCs w:val="22"/>
                <w:highlight w:val="none"/>
                <w:u w:val="none"/>
              </w:rPr>
            </w:pPr>
          </w:p>
        </w:tc>
        <w:tc>
          <w:tcPr>
            <w:tcW w:w="631" w:type="dxa"/>
            <w:tcBorders>
              <w:top w:val="single" w:color="auto" w:sz="4" w:space="0"/>
              <w:left w:val="single" w:color="000000" w:sz="4" w:space="0"/>
              <w:bottom w:val="single" w:color="auto" w:sz="4" w:space="0"/>
              <w:right w:val="single" w:color="000000" w:sz="4" w:space="0"/>
            </w:tcBorders>
            <w:shd w:val="clear" w:color="auto" w:fill="auto"/>
            <w:textDirection w:val="tbRlV"/>
            <w:vAlign w:val="center"/>
          </w:tcPr>
          <w:p w14:paraId="55F10BBF">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时效指标</w:t>
            </w:r>
          </w:p>
        </w:tc>
        <w:tc>
          <w:tcPr>
            <w:tcW w:w="1109" w:type="dxa"/>
            <w:tcBorders>
              <w:top w:val="single" w:color="auto" w:sz="4" w:space="0"/>
              <w:left w:val="single" w:color="000000" w:sz="4" w:space="0"/>
              <w:bottom w:val="single" w:color="auto" w:sz="4" w:space="0"/>
              <w:right w:val="single" w:color="000000" w:sz="4" w:space="0"/>
            </w:tcBorders>
            <w:shd w:val="clear" w:color="auto" w:fill="auto"/>
            <w:vAlign w:val="center"/>
          </w:tcPr>
          <w:p w14:paraId="4B7F2B12">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设备采购完成时间</w:t>
            </w:r>
          </w:p>
        </w:tc>
        <w:tc>
          <w:tcPr>
            <w:tcW w:w="885" w:type="dxa"/>
            <w:tcBorders>
              <w:top w:val="single" w:color="auto" w:sz="4" w:space="0"/>
              <w:left w:val="single" w:color="000000" w:sz="4" w:space="0"/>
              <w:bottom w:val="single" w:color="auto" w:sz="4" w:space="0"/>
              <w:right w:val="single" w:color="000000" w:sz="4" w:space="0"/>
            </w:tcBorders>
            <w:shd w:val="clear" w:color="auto" w:fill="auto"/>
            <w:vAlign w:val="center"/>
          </w:tcPr>
          <w:p w14:paraId="55816533">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7</w:t>
            </w:r>
          </w:p>
        </w:tc>
        <w:tc>
          <w:tcPr>
            <w:tcW w:w="1429" w:type="dxa"/>
            <w:tcBorders>
              <w:top w:val="single" w:color="auto" w:sz="4" w:space="0"/>
              <w:left w:val="single" w:color="000000" w:sz="4" w:space="0"/>
              <w:bottom w:val="single" w:color="auto" w:sz="4" w:space="0"/>
              <w:right w:val="single" w:color="000000" w:sz="4" w:space="0"/>
            </w:tcBorders>
            <w:shd w:val="clear" w:color="auto" w:fill="auto"/>
            <w:vAlign w:val="center"/>
          </w:tcPr>
          <w:p w14:paraId="7B58CC18">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项目经费及时支付的次数占总支付次数的比率，反映经费支付的及时程度。</w:t>
            </w:r>
          </w:p>
        </w:tc>
        <w:tc>
          <w:tcPr>
            <w:tcW w:w="1183" w:type="dxa"/>
            <w:tcBorders>
              <w:top w:val="single" w:color="auto" w:sz="4" w:space="0"/>
              <w:left w:val="single" w:color="000000" w:sz="4" w:space="0"/>
              <w:bottom w:val="single" w:color="auto" w:sz="4" w:space="0"/>
              <w:right w:val="single" w:color="000000" w:sz="4" w:space="0"/>
            </w:tcBorders>
            <w:shd w:val="clear" w:color="auto" w:fill="auto"/>
            <w:vAlign w:val="center"/>
          </w:tcPr>
          <w:p w14:paraId="587A6058">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2025/2/1</w:t>
            </w:r>
          </w:p>
        </w:tc>
        <w:tc>
          <w:tcPr>
            <w:tcW w:w="1732" w:type="dxa"/>
            <w:tcBorders>
              <w:top w:val="single" w:color="auto" w:sz="4" w:space="0"/>
              <w:left w:val="single" w:color="000000" w:sz="4" w:space="0"/>
              <w:bottom w:val="single" w:color="auto" w:sz="4" w:space="0"/>
              <w:right w:val="single" w:color="000000" w:sz="4" w:space="0"/>
            </w:tcBorders>
            <w:shd w:val="clear" w:color="auto" w:fill="auto"/>
            <w:vAlign w:val="center"/>
          </w:tcPr>
          <w:p w14:paraId="586A2EEA">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支付及时率=（按时支付次数/ 总支付次数） × 100%</w:t>
            </w:r>
            <w:r>
              <w:rPr>
                <w:rFonts w:hint="eastAsia" w:ascii="仿宋_GB2312" w:hAnsi="仿宋_GB2312" w:eastAsia="仿宋_GB2312" w:cs="仿宋_GB2312"/>
                <w:i w:val="0"/>
                <w:iCs w:val="0"/>
                <w:color w:val="000000"/>
                <w:kern w:val="0"/>
                <w:sz w:val="22"/>
                <w:szCs w:val="22"/>
                <w:highlight w:val="none"/>
                <w:u w:val="none"/>
                <w:lang w:val="en-US" w:eastAsia="zh-CN" w:bidi="ar"/>
              </w:rPr>
              <w:br w:type="textWrapping"/>
            </w:r>
            <w:r>
              <w:rPr>
                <w:rFonts w:hint="eastAsia" w:ascii="仿宋_GB2312" w:hAnsi="仿宋_GB2312" w:eastAsia="仿宋_GB2312" w:cs="仿宋_GB2312"/>
                <w:i w:val="0"/>
                <w:iCs w:val="0"/>
                <w:color w:val="000000"/>
                <w:kern w:val="0"/>
                <w:sz w:val="22"/>
                <w:szCs w:val="22"/>
                <w:highlight w:val="none"/>
                <w:u w:val="none"/>
                <w:lang w:val="en-US" w:eastAsia="zh-CN" w:bidi="ar"/>
              </w:rPr>
              <w:t>按时支付次数：项目期间内按照合同约定时间完成支付的次数。</w:t>
            </w:r>
          </w:p>
        </w:tc>
        <w:tc>
          <w:tcPr>
            <w:tcW w:w="1149" w:type="dxa"/>
            <w:tcBorders>
              <w:top w:val="single" w:color="auto" w:sz="4" w:space="0"/>
              <w:left w:val="single" w:color="000000" w:sz="4" w:space="0"/>
              <w:bottom w:val="single" w:color="auto" w:sz="4" w:space="0"/>
              <w:right w:val="single" w:color="000000" w:sz="4" w:space="0"/>
            </w:tcBorders>
            <w:shd w:val="clear" w:color="auto" w:fill="auto"/>
            <w:vAlign w:val="center"/>
          </w:tcPr>
          <w:p w14:paraId="3DF55F19">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相关合同、支付凭证、项目明细账</w:t>
            </w:r>
          </w:p>
        </w:tc>
        <w:tc>
          <w:tcPr>
            <w:tcW w:w="2085" w:type="dxa"/>
            <w:tcBorders>
              <w:top w:val="single" w:color="auto" w:sz="4" w:space="0"/>
              <w:left w:val="single" w:color="000000" w:sz="4" w:space="0"/>
              <w:bottom w:val="single" w:color="auto" w:sz="4" w:space="0"/>
              <w:right w:val="single" w:color="000000" w:sz="4" w:space="0"/>
            </w:tcBorders>
            <w:shd w:val="clear" w:color="auto" w:fill="auto"/>
            <w:vAlign w:val="center"/>
          </w:tcPr>
          <w:p w14:paraId="68C291FF">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经过对项目合同核查可知，</w:t>
            </w:r>
            <w:r>
              <w:rPr>
                <w:rFonts w:hint="eastAsia" w:cs="仿宋_GB2312"/>
                <w:b w:val="0"/>
                <w:bCs w:val="0"/>
                <w:color w:val="000000"/>
                <w:kern w:val="0"/>
                <w:sz w:val="22"/>
                <w:szCs w:val="22"/>
                <w:highlight w:val="none"/>
                <w:u w:val="none"/>
                <w:lang w:val="en-US" w:eastAsia="zh-CN" w:bidi="ar"/>
              </w:rPr>
              <w:t>本项目按要求采购完成时间应在2024年12月31日之前完成，</w:t>
            </w:r>
            <w:r>
              <w:rPr>
                <w:rFonts w:hint="eastAsia" w:ascii="仿宋_GB2312" w:hAnsi="仿宋_GB2312" w:eastAsia="仿宋_GB2312" w:cs="仿宋_GB2312"/>
                <w:b w:val="0"/>
                <w:bCs w:val="0"/>
                <w:color w:val="000000"/>
                <w:kern w:val="0"/>
                <w:sz w:val="22"/>
                <w:szCs w:val="22"/>
                <w:highlight w:val="none"/>
                <w:u w:val="none"/>
                <w:lang w:val="en-US" w:eastAsia="zh-CN" w:bidi="ar"/>
              </w:rPr>
              <w:t>经过对项目合同核查可知，本项目</w:t>
            </w:r>
            <w:r>
              <w:rPr>
                <w:rFonts w:hint="eastAsia" w:cs="仿宋_GB2312"/>
                <w:b w:val="0"/>
                <w:bCs w:val="0"/>
                <w:color w:val="000000"/>
                <w:kern w:val="0"/>
                <w:sz w:val="22"/>
                <w:szCs w:val="22"/>
                <w:highlight w:val="none"/>
                <w:u w:val="none"/>
                <w:lang w:val="en-US" w:eastAsia="zh-CN" w:bidi="ar"/>
              </w:rPr>
              <w:t>部分</w:t>
            </w:r>
            <w:r>
              <w:rPr>
                <w:rFonts w:hint="eastAsia" w:ascii="仿宋_GB2312" w:hAnsi="仿宋_GB2312" w:eastAsia="仿宋_GB2312" w:cs="仿宋_GB2312"/>
                <w:b w:val="0"/>
                <w:bCs w:val="0"/>
                <w:color w:val="000000"/>
                <w:kern w:val="0"/>
                <w:sz w:val="22"/>
                <w:szCs w:val="22"/>
                <w:highlight w:val="none"/>
                <w:u w:val="none"/>
                <w:lang w:val="en-US" w:eastAsia="zh-CN" w:bidi="ar"/>
              </w:rPr>
              <w:t>设备采购完成时间均在2025年2月1日</w:t>
            </w:r>
            <w:r>
              <w:rPr>
                <w:rFonts w:hint="eastAsia" w:cs="仿宋_GB2312"/>
                <w:b w:val="0"/>
                <w:bCs w:val="0"/>
                <w:color w:val="000000"/>
                <w:kern w:val="0"/>
                <w:sz w:val="22"/>
                <w:szCs w:val="22"/>
                <w:highlight w:val="none"/>
                <w:u w:val="none"/>
                <w:lang w:val="en-US" w:eastAsia="zh-CN" w:bidi="ar"/>
              </w:rPr>
              <w:t>。</w:t>
            </w:r>
            <w:r>
              <w:rPr>
                <w:rFonts w:hint="eastAsia" w:ascii="仿宋_GB2312" w:hAnsi="仿宋_GB2312" w:eastAsia="仿宋_GB2312" w:cs="仿宋_GB2312"/>
                <w:i w:val="0"/>
                <w:iCs w:val="0"/>
                <w:color w:val="000000"/>
                <w:kern w:val="0"/>
                <w:sz w:val="22"/>
                <w:szCs w:val="22"/>
                <w:highlight w:val="none"/>
                <w:u w:val="none"/>
                <w:lang w:val="en-US" w:eastAsia="zh-CN" w:bidi="ar"/>
              </w:rPr>
              <w:t xml:space="preserve">综上所述，该指标满分 7 分，得分 </w:t>
            </w:r>
            <w:r>
              <w:rPr>
                <w:rFonts w:hint="eastAsia" w:cs="仿宋_GB2312"/>
                <w:i w:val="0"/>
                <w:iCs w:val="0"/>
                <w:color w:val="000000"/>
                <w:kern w:val="0"/>
                <w:sz w:val="22"/>
                <w:szCs w:val="22"/>
                <w:highlight w:val="none"/>
                <w:u w:val="none"/>
                <w:lang w:val="en-US" w:eastAsia="zh-CN" w:bidi="ar"/>
              </w:rPr>
              <w:t>6</w:t>
            </w:r>
            <w:r>
              <w:rPr>
                <w:rFonts w:hint="eastAsia" w:ascii="仿宋_GB2312" w:hAnsi="仿宋_GB2312" w:eastAsia="仿宋_GB2312" w:cs="仿宋_GB2312"/>
                <w:i w:val="0"/>
                <w:iCs w:val="0"/>
                <w:color w:val="000000"/>
                <w:kern w:val="0"/>
                <w:sz w:val="22"/>
                <w:szCs w:val="22"/>
                <w:highlight w:val="none"/>
                <w:u w:val="none"/>
                <w:lang w:val="en-US" w:eastAsia="zh-CN" w:bidi="ar"/>
              </w:rPr>
              <w:t>分。</w:t>
            </w:r>
          </w:p>
        </w:tc>
        <w:tc>
          <w:tcPr>
            <w:tcW w:w="1136" w:type="dxa"/>
            <w:tcBorders>
              <w:top w:val="single" w:color="auto" w:sz="4" w:space="0"/>
              <w:left w:val="single" w:color="000000" w:sz="4" w:space="0"/>
              <w:bottom w:val="single" w:color="auto" w:sz="4" w:space="0"/>
              <w:right w:val="single" w:color="000000" w:sz="4" w:space="0"/>
            </w:tcBorders>
            <w:shd w:val="clear" w:color="auto" w:fill="auto"/>
            <w:vAlign w:val="center"/>
          </w:tcPr>
          <w:p w14:paraId="17D7C888">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cs="仿宋_GB2312"/>
                <w:i w:val="0"/>
                <w:iCs w:val="0"/>
                <w:color w:val="000000"/>
                <w:kern w:val="0"/>
                <w:sz w:val="22"/>
                <w:szCs w:val="22"/>
                <w:highlight w:val="none"/>
                <w:u w:val="none"/>
                <w:lang w:val="en-US" w:eastAsia="zh-CN" w:bidi="ar"/>
              </w:rPr>
              <w:t>1</w:t>
            </w:r>
          </w:p>
        </w:tc>
        <w:tc>
          <w:tcPr>
            <w:tcW w:w="1136" w:type="dxa"/>
            <w:tcBorders>
              <w:top w:val="single" w:color="auto" w:sz="4" w:space="0"/>
              <w:left w:val="single" w:color="000000" w:sz="4" w:space="0"/>
              <w:bottom w:val="single" w:color="auto" w:sz="4" w:space="0"/>
              <w:right w:val="single" w:color="000000" w:sz="4" w:space="0"/>
            </w:tcBorders>
            <w:shd w:val="clear" w:color="auto" w:fill="auto"/>
            <w:vAlign w:val="center"/>
          </w:tcPr>
          <w:p w14:paraId="2BE6CFBB">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cs="仿宋_GB2312"/>
                <w:i w:val="0"/>
                <w:iCs w:val="0"/>
                <w:color w:val="000000"/>
                <w:kern w:val="0"/>
                <w:sz w:val="22"/>
                <w:szCs w:val="22"/>
                <w:highlight w:val="none"/>
                <w:u w:val="none"/>
                <w:lang w:val="en-US" w:eastAsia="zh-CN" w:bidi="ar"/>
              </w:rPr>
              <w:t>6</w:t>
            </w:r>
          </w:p>
        </w:tc>
        <w:tc>
          <w:tcPr>
            <w:tcW w:w="1466" w:type="dxa"/>
            <w:tcBorders>
              <w:top w:val="single" w:color="auto" w:sz="4" w:space="0"/>
              <w:left w:val="single" w:color="000000" w:sz="4" w:space="0"/>
              <w:bottom w:val="single" w:color="auto" w:sz="4" w:space="0"/>
              <w:right w:val="single" w:color="000000" w:sz="4" w:space="0"/>
            </w:tcBorders>
            <w:shd w:val="clear" w:color="auto" w:fill="auto"/>
            <w:vAlign w:val="center"/>
          </w:tcPr>
          <w:p w14:paraId="097F4F83">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cs="仿宋_GB2312"/>
                <w:i w:val="0"/>
                <w:iCs w:val="0"/>
                <w:color w:val="000000"/>
                <w:kern w:val="0"/>
                <w:sz w:val="22"/>
                <w:szCs w:val="22"/>
                <w:highlight w:val="none"/>
                <w:u w:val="none"/>
                <w:lang w:val="en-US" w:eastAsia="zh-CN" w:bidi="ar"/>
              </w:rPr>
              <w:t>85.71</w:t>
            </w:r>
            <w:r>
              <w:rPr>
                <w:rFonts w:hint="eastAsia" w:ascii="仿宋_GB2312" w:hAnsi="仿宋_GB2312" w:eastAsia="仿宋_GB2312" w:cs="仿宋_GB2312"/>
                <w:i w:val="0"/>
                <w:iCs w:val="0"/>
                <w:color w:val="000000"/>
                <w:kern w:val="0"/>
                <w:sz w:val="22"/>
                <w:szCs w:val="22"/>
                <w:highlight w:val="none"/>
                <w:u w:val="none"/>
                <w:lang w:val="en-US" w:eastAsia="zh-CN" w:bidi="ar"/>
              </w:rPr>
              <w:t>%</w:t>
            </w:r>
          </w:p>
        </w:tc>
      </w:tr>
      <w:tr w14:paraId="50B01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64" w:hRule="atLeast"/>
        </w:trPr>
        <w:tc>
          <w:tcPr>
            <w:tcW w:w="747" w:type="dxa"/>
            <w:tcBorders>
              <w:top w:val="single" w:color="auto" w:sz="4" w:space="0"/>
              <w:left w:val="single" w:color="auto" w:sz="4" w:space="0"/>
              <w:bottom w:val="single" w:color="auto" w:sz="4" w:space="0"/>
              <w:right w:val="single" w:color="000000" w:sz="4" w:space="0"/>
            </w:tcBorders>
            <w:shd w:val="clear" w:color="auto" w:fill="auto"/>
            <w:vAlign w:val="center"/>
          </w:tcPr>
          <w:p w14:paraId="6F5D0C0E">
            <w:pPr>
              <w:jc w:val="center"/>
              <w:rPr>
                <w:rFonts w:hint="eastAsia" w:ascii="仿宋_GB2312" w:hAnsi="仿宋_GB2312" w:eastAsia="仿宋_GB2312" w:cs="仿宋_GB2312"/>
                <w:i w:val="0"/>
                <w:iCs w:val="0"/>
                <w:color w:val="000000"/>
                <w:sz w:val="22"/>
                <w:szCs w:val="22"/>
                <w:highlight w:val="none"/>
                <w:u w:val="none"/>
              </w:rPr>
            </w:pPr>
          </w:p>
        </w:tc>
        <w:tc>
          <w:tcPr>
            <w:tcW w:w="126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30AA145">
            <w:pPr>
              <w:jc w:val="center"/>
              <w:rPr>
                <w:rFonts w:hint="eastAsia" w:ascii="仿宋_GB2312" w:hAnsi="仿宋_GB2312" w:eastAsia="仿宋_GB2312" w:cs="仿宋_GB2312"/>
                <w:i w:val="0"/>
                <w:iCs w:val="0"/>
                <w:color w:val="000000"/>
                <w:sz w:val="22"/>
                <w:szCs w:val="22"/>
                <w:highlight w:val="none"/>
                <w:u w:val="none"/>
              </w:rPr>
            </w:pPr>
          </w:p>
        </w:tc>
        <w:tc>
          <w:tcPr>
            <w:tcW w:w="631" w:type="dxa"/>
            <w:tcBorders>
              <w:top w:val="single" w:color="auto" w:sz="4" w:space="0"/>
              <w:left w:val="single" w:color="000000" w:sz="4" w:space="0"/>
              <w:bottom w:val="single" w:color="auto" w:sz="4" w:space="0"/>
              <w:right w:val="single" w:color="000000" w:sz="4" w:space="0"/>
            </w:tcBorders>
            <w:shd w:val="clear" w:color="auto" w:fill="auto"/>
            <w:textDirection w:val="tbRlV"/>
            <w:vAlign w:val="center"/>
          </w:tcPr>
          <w:p w14:paraId="6C5700E4">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成本指标</w:t>
            </w:r>
          </w:p>
        </w:tc>
        <w:tc>
          <w:tcPr>
            <w:tcW w:w="1109" w:type="dxa"/>
            <w:tcBorders>
              <w:top w:val="single" w:color="auto" w:sz="4" w:space="0"/>
              <w:left w:val="single" w:color="000000" w:sz="4" w:space="0"/>
              <w:bottom w:val="single" w:color="auto" w:sz="4" w:space="0"/>
              <w:right w:val="single" w:color="000000" w:sz="4" w:space="0"/>
            </w:tcBorders>
            <w:shd w:val="clear" w:color="auto" w:fill="auto"/>
            <w:vAlign w:val="center"/>
          </w:tcPr>
          <w:p w14:paraId="62948D5E">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设备采购成本控制数</w:t>
            </w:r>
          </w:p>
        </w:tc>
        <w:tc>
          <w:tcPr>
            <w:tcW w:w="885" w:type="dxa"/>
            <w:tcBorders>
              <w:top w:val="single" w:color="auto" w:sz="4" w:space="0"/>
              <w:left w:val="single" w:color="000000" w:sz="4" w:space="0"/>
              <w:bottom w:val="single" w:color="auto" w:sz="4" w:space="0"/>
              <w:right w:val="single" w:color="000000" w:sz="4" w:space="0"/>
            </w:tcBorders>
            <w:shd w:val="clear" w:color="auto" w:fill="auto"/>
            <w:vAlign w:val="center"/>
          </w:tcPr>
          <w:p w14:paraId="6C3CADCC">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5</w:t>
            </w:r>
          </w:p>
        </w:tc>
        <w:tc>
          <w:tcPr>
            <w:tcW w:w="1429" w:type="dxa"/>
            <w:tcBorders>
              <w:top w:val="single" w:color="auto" w:sz="4" w:space="0"/>
              <w:left w:val="single" w:color="000000" w:sz="4" w:space="0"/>
              <w:bottom w:val="single" w:color="auto" w:sz="4" w:space="0"/>
              <w:right w:val="single" w:color="000000" w:sz="4" w:space="0"/>
            </w:tcBorders>
            <w:shd w:val="clear" w:color="auto" w:fill="auto"/>
            <w:vAlign w:val="center"/>
          </w:tcPr>
          <w:p w14:paraId="13CB06A7">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完成项目计划工作目标的实际节约成本与计划成本的比率，用以反映和考核项目的成本节约程度。</w:t>
            </w:r>
          </w:p>
        </w:tc>
        <w:tc>
          <w:tcPr>
            <w:tcW w:w="1183" w:type="dxa"/>
            <w:tcBorders>
              <w:top w:val="single" w:color="auto" w:sz="4" w:space="0"/>
              <w:left w:val="single" w:color="000000" w:sz="4" w:space="0"/>
              <w:bottom w:val="single" w:color="auto" w:sz="4" w:space="0"/>
              <w:right w:val="single" w:color="000000" w:sz="4" w:space="0"/>
            </w:tcBorders>
            <w:shd w:val="clear" w:color="auto" w:fill="auto"/>
            <w:vAlign w:val="center"/>
          </w:tcPr>
          <w:p w14:paraId="7090386C">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≤35万元/台</w:t>
            </w:r>
          </w:p>
        </w:tc>
        <w:tc>
          <w:tcPr>
            <w:tcW w:w="1732" w:type="dxa"/>
            <w:tcBorders>
              <w:top w:val="single" w:color="auto" w:sz="4" w:space="0"/>
              <w:left w:val="single" w:color="000000" w:sz="4" w:space="0"/>
              <w:bottom w:val="single" w:color="auto" w:sz="4" w:space="0"/>
              <w:right w:val="single" w:color="000000" w:sz="4" w:space="0"/>
            </w:tcBorders>
            <w:shd w:val="clear" w:color="auto" w:fill="auto"/>
            <w:vAlign w:val="center"/>
          </w:tcPr>
          <w:p w14:paraId="7E5A9D2A">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成本节约率=[（计划成本-实际成本）/计划成本]×100%。实际成本：项目实施单位如期、保质、保量完成既定工作目标实际所耗费的支出。</w:t>
            </w:r>
            <w:r>
              <w:rPr>
                <w:rFonts w:hint="eastAsia" w:ascii="仿宋_GB2312" w:hAnsi="仿宋_GB2312" w:eastAsia="仿宋_GB2312" w:cs="仿宋_GB2312"/>
                <w:i w:val="0"/>
                <w:iCs w:val="0"/>
                <w:color w:val="000000"/>
                <w:kern w:val="0"/>
                <w:sz w:val="22"/>
                <w:szCs w:val="22"/>
                <w:highlight w:val="none"/>
                <w:u w:val="none"/>
                <w:lang w:val="en-US" w:eastAsia="zh-CN" w:bidi="ar"/>
              </w:rPr>
              <w:br w:type="textWrapping"/>
            </w:r>
            <w:r>
              <w:rPr>
                <w:rFonts w:hint="eastAsia" w:ascii="仿宋_GB2312" w:hAnsi="仿宋_GB2312" w:eastAsia="仿宋_GB2312" w:cs="仿宋_GB2312"/>
                <w:i w:val="0"/>
                <w:iCs w:val="0"/>
                <w:color w:val="000000"/>
                <w:kern w:val="0"/>
                <w:sz w:val="22"/>
                <w:szCs w:val="22"/>
                <w:highlight w:val="none"/>
                <w:u w:val="none"/>
                <w:lang w:val="en-US" w:eastAsia="zh-CN" w:bidi="ar"/>
              </w:rPr>
              <w:t>计划成本：项目实施单位为完成工作目标计划安排的支出，一般以项目预算为参考。</w:t>
            </w:r>
          </w:p>
        </w:tc>
        <w:tc>
          <w:tcPr>
            <w:tcW w:w="1149" w:type="dxa"/>
            <w:tcBorders>
              <w:top w:val="single" w:color="auto" w:sz="4" w:space="0"/>
              <w:left w:val="single" w:color="000000" w:sz="4" w:space="0"/>
              <w:bottom w:val="single" w:color="auto" w:sz="4" w:space="0"/>
              <w:right w:val="single" w:color="000000" w:sz="4" w:space="0"/>
            </w:tcBorders>
            <w:shd w:val="clear" w:color="auto" w:fill="auto"/>
            <w:vAlign w:val="center"/>
          </w:tcPr>
          <w:p w14:paraId="035C9A84">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项目资料、相关合同</w:t>
            </w:r>
          </w:p>
        </w:tc>
        <w:tc>
          <w:tcPr>
            <w:tcW w:w="2085" w:type="dxa"/>
            <w:tcBorders>
              <w:top w:val="single" w:color="auto" w:sz="4" w:space="0"/>
              <w:left w:val="single" w:color="000000" w:sz="4" w:space="0"/>
              <w:bottom w:val="single" w:color="auto" w:sz="4" w:space="0"/>
              <w:right w:val="single" w:color="000000" w:sz="4" w:space="0"/>
            </w:tcBorders>
            <w:shd w:val="clear" w:color="auto" w:fill="auto"/>
            <w:vAlign w:val="center"/>
          </w:tcPr>
          <w:p w14:paraId="47325CF6">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经核查，本项目所有设备采购成本均低于35万元，平均单台采购成本为30万元，指标完成率100%。综上所述，该指标满分 5 分，得分 5 分。</w:t>
            </w:r>
          </w:p>
        </w:tc>
        <w:tc>
          <w:tcPr>
            <w:tcW w:w="1136" w:type="dxa"/>
            <w:tcBorders>
              <w:top w:val="single" w:color="auto" w:sz="4" w:space="0"/>
              <w:left w:val="single" w:color="000000" w:sz="4" w:space="0"/>
              <w:bottom w:val="single" w:color="auto" w:sz="4" w:space="0"/>
              <w:right w:val="single" w:color="000000" w:sz="4" w:space="0"/>
            </w:tcBorders>
            <w:shd w:val="clear" w:color="auto" w:fill="auto"/>
            <w:vAlign w:val="center"/>
          </w:tcPr>
          <w:p w14:paraId="720B9497">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0</w:t>
            </w:r>
          </w:p>
        </w:tc>
        <w:tc>
          <w:tcPr>
            <w:tcW w:w="1136" w:type="dxa"/>
            <w:tcBorders>
              <w:top w:val="single" w:color="auto" w:sz="4" w:space="0"/>
              <w:left w:val="single" w:color="000000" w:sz="4" w:space="0"/>
              <w:bottom w:val="single" w:color="auto" w:sz="4" w:space="0"/>
              <w:right w:val="single" w:color="000000" w:sz="4" w:space="0"/>
            </w:tcBorders>
            <w:shd w:val="clear" w:color="auto" w:fill="auto"/>
            <w:vAlign w:val="center"/>
          </w:tcPr>
          <w:p w14:paraId="026B6141">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5</w:t>
            </w:r>
          </w:p>
        </w:tc>
        <w:tc>
          <w:tcPr>
            <w:tcW w:w="1466" w:type="dxa"/>
            <w:tcBorders>
              <w:top w:val="single" w:color="auto" w:sz="4" w:space="0"/>
              <w:left w:val="single" w:color="000000" w:sz="4" w:space="0"/>
              <w:bottom w:val="single" w:color="auto" w:sz="4" w:space="0"/>
              <w:right w:val="single" w:color="auto" w:sz="4" w:space="0"/>
            </w:tcBorders>
            <w:shd w:val="clear" w:color="auto" w:fill="auto"/>
            <w:vAlign w:val="center"/>
          </w:tcPr>
          <w:p w14:paraId="34A6028E">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100.00%</w:t>
            </w:r>
          </w:p>
        </w:tc>
      </w:tr>
      <w:tr w14:paraId="0997F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64" w:hRule="atLeast"/>
        </w:trPr>
        <w:tc>
          <w:tcPr>
            <w:tcW w:w="747" w:type="dxa"/>
            <w:tcBorders>
              <w:top w:val="single" w:color="auto" w:sz="4" w:space="0"/>
              <w:left w:val="single" w:color="auto" w:sz="4" w:space="0"/>
              <w:bottom w:val="single" w:color="auto" w:sz="4" w:space="0"/>
              <w:right w:val="single" w:color="000000" w:sz="4" w:space="0"/>
            </w:tcBorders>
            <w:shd w:val="clear" w:color="auto" w:fill="auto"/>
            <w:vAlign w:val="center"/>
          </w:tcPr>
          <w:p w14:paraId="20FEEBA8">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19</w:t>
            </w:r>
          </w:p>
        </w:tc>
        <w:tc>
          <w:tcPr>
            <w:tcW w:w="126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3C166A35">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项目效益（20</w:t>
            </w:r>
            <w:r>
              <w:rPr>
                <w:rFonts w:hint="eastAsia" w:ascii="仿宋_GB2312" w:hAnsi="仿宋_GB2312" w:eastAsia="仿宋_GB2312" w:cs="仿宋_GB2312"/>
                <w:i w:val="0"/>
                <w:iCs w:val="0"/>
                <w:color w:val="000000"/>
                <w:kern w:val="0"/>
                <w:sz w:val="22"/>
                <w:szCs w:val="22"/>
                <w:highlight w:val="none"/>
                <w:u w:val="none"/>
                <w:lang w:val="en-US" w:eastAsia="zh-CN" w:bidi="ar"/>
              </w:rPr>
              <w:br w:type="textWrapping"/>
            </w:r>
            <w:r>
              <w:rPr>
                <w:rFonts w:hint="eastAsia" w:ascii="仿宋_GB2312" w:hAnsi="仿宋_GB2312" w:eastAsia="仿宋_GB2312" w:cs="仿宋_GB2312"/>
                <w:i w:val="0"/>
                <w:iCs w:val="0"/>
                <w:color w:val="000000"/>
                <w:kern w:val="0"/>
                <w:sz w:val="22"/>
                <w:szCs w:val="22"/>
                <w:highlight w:val="none"/>
                <w:u w:val="none"/>
                <w:lang w:val="en-US" w:eastAsia="zh-CN" w:bidi="ar"/>
              </w:rPr>
              <w:t>分）</w:t>
            </w:r>
          </w:p>
        </w:tc>
        <w:tc>
          <w:tcPr>
            <w:tcW w:w="631" w:type="dxa"/>
            <w:tcBorders>
              <w:top w:val="single" w:color="auto" w:sz="4" w:space="0"/>
              <w:left w:val="single" w:color="000000" w:sz="4" w:space="0"/>
              <w:bottom w:val="single" w:color="auto" w:sz="4" w:space="0"/>
              <w:right w:val="single" w:color="000000" w:sz="4" w:space="0"/>
            </w:tcBorders>
            <w:shd w:val="clear" w:color="auto" w:fill="auto"/>
            <w:textDirection w:val="tbRlV"/>
            <w:vAlign w:val="center"/>
          </w:tcPr>
          <w:p w14:paraId="72BAF4D3">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经济效益</w:t>
            </w:r>
          </w:p>
        </w:tc>
        <w:tc>
          <w:tcPr>
            <w:tcW w:w="1109" w:type="dxa"/>
            <w:tcBorders>
              <w:top w:val="single" w:color="auto" w:sz="4" w:space="0"/>
              <w:left w:val="single" w:color="000000" w:sz="4" w:space="0"/>
              <w:bottom w:val="single" w:color="auto" w:sz="4" w:space="0"/>
              <w:right w:val="single" w:color="000000" w:sz="4" w:space="0"/>
            </w:tcBorders>
            <w:shd w:val="clear" w:color="auto" w:fill="auto"/>
            <w:vAlign w:val="center"/>
          </w:tcPr>
          <w:p w14:paraId="5A470A01">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设备利用率</w:t>
            </w:r>
          </w:p>
        </w:tc>
        <w:tc>
          <w:tcPr>
            <w:tcW w:w="885" w:type="dxa"/>
            <w:tcBorders>
              <w:top w:val="single" w:color="auto" w:sz="4" w:space="0"/>
              <w:left w:val="single" w:color="000000" w:sz="4" w:space="0"/>
              <w:bottom w:val="single" w:color="auto" w:sz="4" w:space="0"/>
              <w:right w:val="single" w:color="000000" w:sz="4" w:space="0"/>
            </w:tcBorders>
            <w:shd w:val="clear" w:color="auto" w:fill="auto"/>
            <w:vAlign w:val="center"/>
          </w:tcPr>
          <w:p w14:paraId="19FFE3CF">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10</w:t>
            </w:r>
          </w:p>
        </w:tc>
        <w:tc>
          <w:tcPr>
            <w:tcW w:w="1429" w:type="dxa"/>
            <w:tcBorders>
              <w:top w:val="single" w:color="auto" w:sz="4" w:space="0"/>
              <w:left w:val="single" w:color="000000" w:sz="4" w:space="0"/>
              <w:bottom w:val="single" w:color="auto" w:sz="4" w:space="0"/>
              <w:right w:val="single" w:color="000000" w:sz="4" w:space="0"/>
            </w:tcBorders>
            <w:shd w:val="clear" w:color="auto" w:fill="auto"/>
            <w:vAlign w:val="center"/>
          </w:tcPr>
          <w:p w14:paraId="5412C22F">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项目实施后产出的设备利用率</w:t>
            </w:r>
          </w:p>
        </w:tc>
        <w:tc>
          <w:tcPr>
            <w:tcW w:w="1183" w:type="dxa"/>
            <w:tcBorders>
              <w:top w:val="single" w:color="auto" w:sz="4" w:space="0"/>
              <w:left w:val="single" w:color="000000" w:sz="4" w:space="0"/>
              <w:bottom w:val="single" w:color="auto" w:sz="4" w:space="0"/>
              <w:right w:val="single" w:color="000000" w:sz="4" w:space="0"/>
            </w:tcBorders>
            <w:shd w:val="clear" w:color="auto" w:fill="auto"/>
            <w:vAlign w:val="center"/>
          </w:tcPr>
          <w:p w14:paraId="14CDD735">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100%</w:t>
            </w:r>
          </w:p>
        </w:tc>
        <w:tc>
          <w:tcPr>
            <w:tcW w:w="1732" w:type="dxa"/>
            <w:tcBorders>
              <w:top w:val="single" w:color="auto" w:sz="4" w:space="0"/>
              <w:left w:val="single" w:color="000000" w:sz="4" w:space="0"/>
              <w:bottom w:val="single" w:color="auto" w:sz="4" w:space="0"/>
              <w:right w:val="single" w:color="000000" w:sz="4" w:space="0"/>
            </w:tcBorders>
            <w:shd w:val="clear" w:color="auto" w:fill="auto"/>
            <w:vAlign w:val="center"/>
          </w:tcPr>
          <w:p w14:paraId="69023EDF">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项目实施所产生的覆盖范围、社会效益、经济效益、生态效益、可持续影响等。可根据项目实际情况有选择地设置和细化。</w:t>
            </w:r>
          </w:p>
        </w:tc>
        <w:tc>
          <w:tcPr>
            <w:tcW w:w="1149" w:type="dxa"/>
            <w:tcBorders>
              <w:top w:val="single" w:color="auto" w:sz="4" w:space="0"/>
              <w:left w:val="single" w:color="000000" w:sz="4" w:space="0"/>
              <w:bottom w:val="single" w:color="auto" w:sz="4" w:space="0"/>
              <w:right w:val="single" w:color="000000" w:sz="4" w:space="0"/>
            </w:tcBorders>
            <w:shd w:val="clear" w:color="auto" w:fill="auto"/>
            <w:vAlign w:val="center"/>
          </w:tcPr>
          <w:p w14:paraId="2C552066">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调查问卷、现场踏勘</w:t>
            </w:r>
          </w:p>
        </w:tc>
        <w:tc>
          <w:tcPr>
            <w:tcW w:w="2085" w:type="dxa"/>
            <w:tcBorders>
              <w:top w:val="single" w:color="auto" w:sz="4" w:space="0"/>
              <w:left w:val="single" w:color="000000" w:sz="4" w:space="0"/>
              <w:bottom w:val="single" w:color="auto" w:sz="4" w:space="0"/>
              <w:right w:val="single" w:color="000000" w:sz="4" w:space="0"/>
            </w:tcBorders>
            <w:shd w:val="clear" w:color="auto" w:fill="auto"/>
            <w:vAlign w:val="center"/>
          </w:tcPr>
          <w:p w14:paraId="1DFFDF11">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从经济效益指标对项目实施进行考察，具体为“设备利用率”，预期指标值为100%，实际完成值为100%，指标完成率100%，该指标满分10分，实际得分10分。</w:t>
            </w:r>
          </w:p>
        </w:tc>
        <w:tc>
          <w:tcPr>
            <w:tcW w:w="1136" w:type="dxa"/>
            <w:tcBorders>
              <w:top w:val="single" w:color="auto" w:sz="4" w:space="0"/>
              <w:left w:val="single" w:color="000000" w:sz="4" w:space="0"/>
              <w:bottom w:val="single" w:color="auto" w:sz="4" w:space="0"/>
              <w:right w:val="single" w:color="000000" w:sz="4" w:space="0"/>
            </w:tcBorders>
            <w:shd w:val="clear" w:color="auto" w:fill="auto"/>
            <w:vAlign w:val="center"/>
          </w:tcPr>
          <w:p w14:paraId="080A4026">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0</w:t>
            </w:r>
          </w:p>
        </w:tc>
        <w:tc>
          <w:tcPr>
            <w:tcW w:w="1136" w:type="dxa"/>
            <w:tcBorders>
              <w:top w:val="single" w:color="auto" w:sz="4" w:space="0"/>
              <w:left w:val="single" w:color="000000" w:sz="4" w:space="0"/>
              <w:bottom w:val="single" w:color="auto" w:sz="4" w:space="0"/>
              <w:right w:val="single" w:color="000000" w:sz="4" w:space="0"/>
            </w:tcBorders>
            <w:shd w:val="clear" w:color="auto" w:fill="auto"/>
            <w:vAlign w:val="center"/>
          </w:tcPr>
          <w:p w14:paraId="6338815E">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10</w:t>
            </w:r>
          </w:p>
        </w:tc>
        <w:tc>
          <w:tcPr>
            <w:tcW w:w="1466" w:type="dxa"/>
            <w:tcBorders>
              <w:top w:val="single" w:color="auto" w:sz="4" w:space="0"/>
              <w:left w:val="single" w:color="000000" w:sz="4" w:space="0"/>
              <w:bottom w:val="single" w:color="auto" w:sz="4" w:space="0"/>
              <w:right w:val="single" w:color="auto" w:sz="4" w:space="0"/>
            </w:tcBorders>
            <w:shd w:val="clear" w:color="auto" w:fill="auto"/>
            <w:vAlign w:val="center"/>
          </w:tcPr>
          <w:p w14:paraId="6201E498">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100.00%</w:t>
            </w:r>
          </w:p>
        </w:tc>
      </w:tr>
      <w:tr w14:paraId="53044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0" w:hRule="atLeast"/>
        </w:trPr>
        <w:tc>
          <w:tcPr>
            <w:tcW w:w="747" w:type="dxa"/>
            <w:tcBorders>
              <w:top w:val="single" w:color="auto" w:sz="4" w:space="0"/>
              <w:left w:val="single" w:color="000000" w:sz="4" w:space="0"/>
              <w:bottom w:val="single" w:color="000000" w:sz="4" w:space="0"/>
              <w:right w:val="single" w:color="000000" w:sz="4" w:space="0"/>
            </w:tcBorders>
            <w:shd w:val="clear" w:color="auto" w:fill="auto"/>
            <w:vAlign w:val="center"/>
          </w:tcPr>
          <w:p w14:paraId="226B59E0">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20</w:t>
            </w:r>
          </w:p>
        </w:tc>
        <w:tc>
          <w:tcPr>
            <w:tcW w:w="1260" w:type="dxa"/>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05273CBC">
            <w:pPr>
              <w:jc w:val="center"/>
              <w:rPr>
                <w:rFonts w:hint="eastAsia" w:ascii="仿宋_GB2312" w:hAnsi="仿宋_GB2312" w:eastAsia="仿宋_GB2312" w:cs="仿宋_GB2312"/>
                <w:i w:val="0"/>
                <w:iCs w:val="0"/>
                <w:color w:val="000000"/>
                <w:sz w:val="22"/>
                <w:szCs w:val="22"/>
                <w:highlight w:val="none"/>
                <w:u w:val="none"/>
              </w:rPr>
            </w:pPr>
          </w:p>
        </w:tc>
        <w:tc>
          <w:tcPr>
            <w:tcW w:w="631" w:type="dxa"/>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14:paraId="1B30791E">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社会效益</w:t>
            </w:r>
          </w:p>
        </w:tc>
        <w:tc>
          <w:tcPr>
            <w:tcW w:w="1109" w:type="dxa"/>
            <w:tcBorders>
              <w:top w:val="single" w:color="auto" w:sz="4" w:space="0"/>
              <w:left w:val="single" w:color="000000" w:sz="4" w:space="0"/>
              <w:bottom w:val="single" w:color="000000" w:sz="4" w:space="0"/>
              <w:right w:val="single" w:color="000000" w:sz="4" w:space="0"/>
            </w:tcBorders>
            <w:shd w:val="clear" w:color="auto" w:fill="auto"/>
            <w:vAlign w:val="center"/>
          </w:tcPr>
          <w:p w14:paraId="6F6A81B9">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使用人员满意度</w:t>
            </w:r>
          </w:p>
        </w:tc>
        <w:tc>
          <w:tcPr>
            <w:tcW w:w="885" w:type="dxa"/>
            <w:tcBorders>
              <w:top w:val="single" w:color="auto" w:sz="4" w:space="0"/>
              <w:left w:val="single" w:color="000000" w:sz="4" w:space="0"/>
              <w:bottom w:val="single" w:color="000000" w:sz="4" w:space="0"/>
              <w:right w:val="single" w:color="000000" w:sz="4" w:space="0"/>
            </w:tcBorders>
            <w:shd w:val="clear" w:color="auto" w:fill="auto"/>
            <w:vAlign w:val="center"/>
          </w:tcPr>
          <w:p w14:paraId="62A9C23D">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10</w:t>
            </w:r>
          </w:p>
        </w:tc>
        <w:tc>
          <w:tcPr>
            <w:tcW w:w="1429" w:type="dxa"/>
            <w:tcBorders>
              <w:top w:val="single" w:color="auto" w:sz="4" w:space="0"/>
              <w:left w:val="single" w:color="000000" w:sz="4" w:space="0"/>
              <w:bottom w:val="single" w:color="000000" w:sz="4" w:space="0"/>
              <w:right w:val="single" w:color="000000" w:sz="4" w:space="0"/>
            </w:tcBorders>
            <w:shd w:val="clear" w:color="auto" w:fill="auto"/>
            <w:vAlign w:val="center"/>
          </w:tcPr>
          <w:p w14:paraId="73E11649">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项目实施后受益人群对于项目的满意程度</w:t>
            </w:r>
          </w:p>
        </w:tc>
        <w:tc>
          <w:tcPr>
            <w:tcW w:w="1183" w:type="dxa"/>
            <w:tcBorders>
              <w:top w:val="single" w:color="auto" w:sz="4" w:space="0"/>
              <w:left w:val="single" w:color="000000" w:sz="4" w:space="0"/>
              <w:bottom w:val="single" w:color="000000" w:sz="4" w:space="0"/>
              <w:right w:val="single" w:color="000000" w:sz="4" w:space="0"/>
            </w:tcBorders>
            <w:shd w:val="clear" w:color="auto" w:fill="auto"/>
            <w:vAlign w:val="center"/>
          </w:tcPr>
          <w:p w14:paraId="19C5B308">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≥90%</w:t>
            </w:r>
          </w:p>
        </w:tc>
        <w:tc>
          <w:tcPr>
            <w:tcW w:w="1732" w:type="dxa"/>
            <w:tcBorders>
              <w:top w:val="single" w:color="auto" w:sz="4" w:space="0"/>
              <w:left w:val="single" w:color="000000" w:sz="4" w:space="0"/>
              <w:bottom w:val="single" w:color="000000" w:sz="4" w:space="0"/>
              <w:right w:val="single" w:color="000000" w:sz="4" w:space="0"/>
            </w:tcBorders>
            <w:shd w:val="clear" w:color="auto" w:fill="auto"/>
            <w:vAlign w:val="center"/>
          </w:tcPr>
          <w:p w14:paraId="46371D62">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项目实施所产生的覆盖范围、社会效益、经济效益、生态效益、可持续影响等。可根据项目实际情况有选择地设置和细化。</w:t>
            </w:r>
          </w:p>
        </w:tc>
        <w:tc>
          <w:tcPr>
            <w:tcW w:w="1149" w:type="dxa"/>
            <w:tcBorders>
              <w:top w:val="single" w:color="auto" w:sz="4" w:space="0"/>
              <w:left w:val="single" w:color="000000" w:sz="4" w:space="0"/>
              <w:bottom w:val="single" w:color="000000" w:sz="4" w:space="0"/>
              <w:right w:val="single" w:color="000000" w:sz="4" w:space="0"/>
            </w:tcBorders>
            <w:shd w:val="clear" w:color="auto" w:fill="auto"/>
            <w:vAlign w:val="center"/>
          </w:tcPr>
          <w:p w14:paraId="7E23993D">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调查问卷</w:t>
            </w:r>
          </w:p>
        </w:tc>
        <w:tc>
          <w:tcPr>
            <w:tcW w:w="2085" w:type="dxa"/>
            <w:tcBorders>
              <w:top w:val="single" w:color="auto" w:sz="4" w:space="0"/>
              <w:left w:val="single" w:color="000000" w:sz="4" w:space="0"/>
              <w:bottom w:val="single" w:color="000000" w:sz="4" w:space="0"/>
              <w:right w:val="single" w:color="000000" w:sz="4" w:space="0"/>
            </w:tcBorders>
            <w:shd w:val="clear" w:color="auto" w:fill="auto"/>
            <w:vAlign w:val="center"/>
          </w:tcPr>
          <w:p w14:paraId="1AAD3438">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经过对调查问卷结果的统计与整理，整体满意度为90%，指标完成率100%。综上所述，该指标满分 10 分，得分 10 分。</w:t>
            </w:r>
          </w:p>
        </w:tc>
        <w:tc>
          <w:tcPr>
            <w:tcW w:w="1136" w:type="dxa"/>
            <w:tcBorders>
              <w:top w:val="single" w:color="auto" w:sz="4" w:space="0"/>
              <w:left w:val="single" w:color="000000" w:sz="4" w:space="0"/>
              <w:bottom w:val="single" w:color="000000" w:sz="4" w:space="0"/>
              <w:right w:val="single" w:color="000000" w:sz="4" w:space="0"/>
            </w:tcBorders>
            <w:shd w:val="clear" w:color="auto" w:fill="auto"/>
            <w:vAlign w:val="center"/>
          </w:tcPr>
          <w:p w14:paraId="1F8EC6A7">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0</w:t>
            </w:r>
          </w:p>
        </w:tc>
        <w:tc>
          <w:tcPr>
            <w:tcW w:w="1136" w:type="dxa"/>
            <w:tcBorders>
              <w:top w:val="single" w:color="auto" w:sz="4" w:space="0"/>
              <w:left w:val="single" w:color="000000" w:sz="4" w:space="0"/>
              <w:bottom w:val="single" w:color="auto" w:sz="4" w:space="0"/>
              <w:right w:val="single" w:color="000000" w:sz="4" w:space="0"/>
            </w:tcBorders>
            <w:shd w:val="clear" w:color="auto" w:fill="auto"/>
            <w:vAlign w:val="center"/>
          </w:tcPr>
          <w:p w14:paraId="74995E82">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10</w:t>
            </w:r>
          </w:p>
        </w:tc>
        <w:tc>
          <w:tcPr>
            <w:tcW w:w="1466" w:type="dxa"/>
            <w:tcBorders>
              <w:top w:val="single" w:color="auto" w:sz="4" w:space="0"/>
              <w:left w:val="single" w:color="000000" w:sz="4" w:space="0"/>
              <w:bottom w:val="single" w:color="auto" w:sz="4" w:space="0"/>
              <w:right w:val="single" w:color="000000" w:sz="4" w:space="0"/>
            </w:tcBorders>
            <w:shd w:val="clear" w:color="auto" w:fill="auto"/>
            <w:vAlign w:val="center"/>
          </w:tcPr>
          <w:p w14:paraId="68F86ACC">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100.00%</w:t>
            </w:r>
          </w:p>
        </w:tc>
      </w:tr>
      <w:tr w14:paraId="43B51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C7248">
            <w:pPr>
              <w:ind w:firstLine="0" w:firstLineChars="0"/>
              <w:jc w:val="left"/>
              <w:rPr>
                <w:rFonts w:hint="eastAsia" w:ascii="仿宋_GB2312" w:hAnsi="仿宋_GB2312" w:eastAsia="仿宋_GB2312" w:cs="仿宋_GB2312"/>
                <w:i w:val="0"/>
                <w:iCs w:val="0"/>
                <w:color w:val="000000"/>
                <w:sz w:val="22"/>
                <w:szCs w:val="22"/>
                <w:highlight w:val="none"/>
                <w:u w:val="none"/>
                <w:lang w:val="en-US" w:eastAsia="zh-CN"/>
              </w:rPr>
            </w:pPr>
            <w:r>
              <w:rPr>
                <w:rFonts w:hint="eastAsia" w:ascii="仿宋_GB2312" w:hAnsi="仿宋_GB2312" w:eastAsia="仿宋_GB2312" w:cs="仿宋_GB2312"/>
                <w:i w:val="0"/>
                <w:iCs w:val="0"/>
                <w:color w:val="000000"/>
                <w:sz w:val="22"/>
                <w:szCs w:val="22"/>
                <w:highlight w:val="none"/>
                <w:u w:val="none"/>
                <w:lang w:val="en-US" w:eastAsia="zh-CN"/>
              </w:rPr>
              <w:t>合计</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DC94B">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F7F70">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5D75D">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D4528">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100</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32C75">
            <w:pPr>
              <w:jc w:val="center"/>
              <w:rPr>
                <w:rFonts w:hint="eastAsia" w:ascii="仿宋_GB2312" w:hAnsi="仿宋_GB2312" w:eastAsia="仿宋_GB2312" w:cs="仿宋_GB2312"/>
                <w:i w:val="0"/>
                <w:iCs w:val="0"/>
                <w:color w:val="000000"/>
                <w:sz w:val="22"/>
                <w:szCs w:val="22"/>
                <w:highlight w:val="none"/>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D762F">
            <w:pPr>
              <w:jc w:val="center"/>
              <w:rPr>
                <w:rFonts w:hint="eastAsia" w:ascii="仿宋_GB2312" w:hAnsi="仿宋_GB2312" w:eastAsia="仿宋_GB2312" w:cs="仿宋_GB2312"/>
                <w:i w:val="0"/>
                <w:iCs w:val="0"/>
                <w:color w:val="000000"/>
                <w:sz w:val="22"/>
                <w:szCs w:val="22"/>
                <w:highlight w:val="none"/>
                <w:u w:val="none"/>
              </w:rPr>
            </w:pP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A91AF">
            <w:pPr>
              <w:jc w:val="center"/>
              <w:rPr>
                <w:rFonts w:hint="eastAsia" w:ascii="仿宋_GB2312" w:hAnsi="仿宋_GB2312" w:eastAsia="仿宋_GB2312" w:cs="仿宋_GB2312"/>
                <w:i w:val="0"/>
                <w:iCs w:val="0"/>
                <w:color w:val="000000"/>
                <w:sz w:val="22"/>
                <w:szCs w:val="22"/>
                <w:highlight w:val="none"/>
                <w:u w:val="none"/>
              </w:rPr>
            </w:pP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791C0">
            <w:pPr>
              <w:jc w:val="center"/>
              <w:rPr>
                <w:rFonts w:hint="eastAsia" w:ascii="仿宋_GB2312" w:hAnsi="仿宋_GB2312" w:eastAsia="仿宋_GB2312" w:cs="仿宋_GB2312"/>
                <w:i w:val="0"/>
                <w:iCs w:val="0"/>
                <w:color w:val="000000"/>
                <w:sz w:val="22"/>
                <w:szCs w:val="22"/>
                <w:highlight w:val="none"/>
                <w:u w:val="none"/>
              </w:rPr>
            </w:pP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A1A0C">
            <w:pPr>
              <w:jc w:val="center"/>
              <w:rPr>
                <w:rFonts w:hint="eastAsia" w:ascii="仿宋_GB2312" w:hAnsi="仿宋_GB2312" w:eastAsia="仿宋_GB2312" w:cs="仿宋_GB2312"/>
                <w:i w:val="0"/>
                <w:iCs w:val="0"/>
                <w:color w:val="000000"/>
                <w:sz w:val="22"/>
                <w:szCs w:val="22"/>
                <w:highlight w:val="none"/>
                <w:u w:val="none"/>
              </w:rPr>
            </w:pPr>
          </w:p>
        </w:tc>
        <w:tc>
          <w:tcPr>
            <w:tcW w:w="1136" w:type="dxa"/>
            <w:tcBorders>
              <w:top w:val="single" w:color="000000" w:sz="4" w:space="0"/>
              <w:left w:val="single" w:color="000000" w:sz="4" w:space="0"/>
              <w:bottom w:val="single" w:color="000000" w:sz="4" w:space="0"/>
              <w:right w:val="single" w:color="auto" w:sz="4" w:space="0"/>
            </w:tcBorders>
            <w:shd w:val="clear" w:color="auto" w:fill="auto"/>
            <w:vAlign w:val="center"/>
          </w:tcPr>
          <w:p w14:paraId="68812F0F">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cs="仿宋_GB2312"/>
                <w:i w:val="0"/>
                <w:iCs w:val="0"/>
                <w:color w:val="000000"/>
                <w:kern w:val="0"/>
                <w:sz w:val="22"/>
                <w:szCs w:val="22"/>
                <w:highlight w:val="none"/>
                <w:u w:val="none"/>
                <w:lang w:val="en-US" w:eastAsia="zh-CN" w:bidi="ar"/>
              </w:rPr>
              <w:t>4</w:t>
            </w:r>
          </w:p>
        </w:tc>
        <w:tc>
          <w:tcPr>
            <w:tcW w:w="1136" w:type="dxa"/>
            <w:tcBorders>
              <w:top w:val="single" w:color="auto" w:sz="4" w:space="0"/>
              <w:left w:val="single" w:color="auto" w:sz="4" w:space="0"/>
              <w:bottom w:val="single" w:color="auto" w:sz="4" w:space="0"/>
              <w:right w:val="single" w:color="000000" w:sz="4" w:space="0"/>
            </w:tcBorders>
            <w:shd w:val="clear" w:color="auto" w:fill="auto"/>
            <w:vAlign w:val="center"/>
          </w:tcPr>
          <w:p w14:paraId="3C232A54">
            <w:pPr>
              <w:keepNext w:val="0"/>
              <w:keepLines w:val="0"/>
              <w:widowControl/>
              <w:suppressLineNumbers w:val="0"/>
              <w:ind w:left="0" w:leftChars="0" w:firstLine="0" w:firstLineChars="0"/>
              <w:jc w:val="center"/>
              <w:textAlignment w:val="center"/>
              <w:rPr>
                <w:rFonts w:hint="default" w:ascii="仿宋_GB2312" w:hAnsi="仿宋_GB2312" w:eastAsia="仿宋_GB2312" w:cs="仿宋_GB2312"/>
                <w:i w:val="0"/>
                <w:iCs w:val="0"/>
                <w:color w:val="000000"/>
                <w:sz w:val="22"/>
                <w:szCs w:val="22"/>
                <w:highlight w:val="none"/>
                <w:u w:val="none"/>
                <w:lang w:val="en-US"/>
              </w:rPr>
            </w:pPr>
            <w:r>
              <w:rPr>
                <w:rFonts w:hint="eastAsia" w:cs="仿宋_GB2312"/>
                <w:i w:val="0"/>
                <w:iCs w:val="0"/>
                <w:color w:val="000000"/>
                <w:kern w:val="0"/>
                <w:sz w:val="22"/>
                <w:szCs w:val="22"/>
                <w:highlight w:val="none"/>
                <w:u w:val="none"/>
                <w:lang w:val="en-US" w:eastAsia="zh-CN" w:bidi="ar"/>
              </w:rPr>
              <w:t>96</w:t>
            </w:r>
          </w:p>
        </w:tc>
        <w:tc>
          <w:tcPr>
            <w:tcW w:w="1466" w:type="dxa"/>
            <w:tcBorders>
              <w:top w:val="single" w:color="auto" w:sz="4" w:space="0"/>
              <w:left w:val="single" w:color="000000" w:sz="4" w:space="0"/>
              <w:bottom w:val="single" w:color="auto" w:sz="4" w:space="0"/>
              <w:right w:val="single" w:color="auto" w:sz="4" w:space="0"/>
            </w:tcBorders>
            <w:shd w:val="clear" w:color="auto" w:fill="auto"/>
            <w:vAlign w:val="center"/>
          </w:tcPr>
          <w:p w14:paraId="38EBDEDE">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cs="仿宋_GB2312"/>
                <w:i w:val="0"/>
                <w:iCs w:val="0"/>
                <w:color w:val="000000"/>
                <w:kern w:val="0"/>
                <w:sz w:val="22"/>
                <w:szCs w:val="22"/>
                <w:highlight w:val="none"/>
                <w:u w:val="none"/>
                <w:lang w:val="en-US" w:eastAsia="zh-CN" w:bidi="ar"/>
              </w:rPr>
              <w:t>96</w:t>
            </w:r>
            <w:r>
              <w:rPr>
                <w:rFonts w:hint="eastAsia" w:ascii="仿宋_GB2312" w:hAnsi="仿宋_GB2312" w:eastAsia="仿宋_GB2312" w:cs="仿宋_GB2312"/>
                <w:i w:val="0"/>
                <w:iCs w:val="0"/>
                <w:color w:val="000000"/>
                <w:kern w:val="0"/>
                <w:sz w:val="22"/>
                <w:szCs w:val="22"/>
                <w:highlight w:val="none"/>
                <w:u w:val="none"/>
                <w:lang w:val="en-US" w:eastAsia="zh-CN" w:bidi="ar"/>
              </w:rPr>
              <w:t>%</w:t>
            </w:r>
          </w:p>
        </w:tc>
      </w:tr>
    </w:tbl>
    <w:p w14:paraId="0D53A88F">
      <w:pPr>
        <w:ind w:left="0" w:leftChars="0" w:firstLine="0" w:firstLineChars="0"/>
        <w:rPr>
          <w:rFonts w:hint="eastAsia" w:ascii="仿宋_GB2312" w:hAnsi="仿宋_GB2312" w:eastAsia="仿宋_GB2312" w:cs="仿宋_GB2312"/>
          <w:highlight w:val="none"/>
          <w:lang w:val="en-US" w:eastAsia="zh-CN"/>
        </w:rPr>
        <w:sectPr>
          <w:pgSz w:w="16838" w:h="11906" w:orient="landscape"/>
          <w:pgMar w:top="720" w:right="720" w:bottom="720" w:left="72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3D82DA3">
      <w:pPr>
        <w:ind w:left="0" w:leftChars="0" w:firstLine="0" w:firstLineChars="0"/>
        <w:outlineLvl w:val="0"/>
        <w:rPr>
          <w:rFonts w:hint="eastAsia" w:ascii="仿宋_GB2312" w:hAnsi="仿宋_GB2312" w:eastAsia="仿宋_GB2312" w:cs="仿宋_GB2312"/>
          <w:highlight w:val="none"/>
          <w:lang w:val="en-US" w:eastAsia="zh-CN"/>
        </w:rPr>
      </w:pPr>
      <w:bookmarkStart w:id="222" w:name="_Toc715"/>
      <w:bookmarkStart w:id="223" w:name="_Toc20473"/>
      <w:bookmarkStart w:id="224" w:name="_Toc19818"/>
      <w:r>
        <w:rPr>
          <w:rFonts w:hint="eastAsia" w:ascii="仿宋_GB2312" w:hAnsi="仿宋_GB2312" w:eastAsia="仿宋_GB2312" w:cs="仿宋_GB2312"/>
          <w:highlight w:val="none"/>
          <w:lang w:val="en-US" w:eastAsia="zh-CN"/>
        </w:rPr>
        <w:t>附件2：绩效评价报告征求部门意见反馈表</w:t>
      </w:r>
      <w:bookmarkEnd w:id="222"/>
      <w:bookmarkEnd w:id="223"/>
      <w:bookmarkEnd w:id="224"/>
    </w:p>
    <w:p w14:paraId="229CF83B">
      <w:pPr>
        <w:ind w:left="0" w:leftChars="0" w:firstLine="0" w:firstLineChars="0"/>
        <w:rPr>
          <w:rFonts w:hint="eastAsia" w:ascii="仿宋_GB2312" w:hAnsi="仿宋_GB2312" w:eastAsia="仿宋_GB2312" w:cs="仿宋_GB2312"/>
          <w:highlight w:val="none"/>
          <w:lang w:val="en-US" w:eastAsia="zh-CN"/>
        </w:rPr>
      </w:pPr>
    </w:p>
    <w:p w14:paraId="27DF6441">
      <w:pPr>
        <w:pStyle w:val="2"/>
        <w:spacing w:line="240" w:lineRule="auto"/>
        <w:rPr>
          <w:rFonts w:hint="eastAsia"/>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drawing>
          <wp:inline distT="0" distB="0" distL="114300" distR="114300">
            <wp:extent cx="4994910" cy="7066915"/>
            <wp:effectExtent l="0" t="0" r="8890" b="6985"/>
            <wp:docPr id="4" name="图片 4" descr="扫描全能王 2025-9-15 12.46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扫描全能王 2025-9-15 12.46_00"/>
                    <pic:cNvPicPr>
                      <a:picLocks noChangeAspect="1"/>
                    </pic:cNvPicPr>
                  </pic:nvPicPr>
                  <pic:blipFill>
                    <a:blip r:embed="rId7"/>
                    <a:stretch>
                      <a:fillRect/>
                    </a:stretch>
                  </pic:blipFill>
                  <pic:spPr>
                    <a:xfrm>
                      <a:off x="0" y="0"/>
                      <a:ext cx="4994910" cy="7066915"/>
                    </a:xfrm>
                    <a:prstGeom prst="rect">
                      <a:avLst/>
                    </a:prstGeom>
                  </pic:spPr>
                </pic:pic>
              </a:graphicData>
            </a:graphic>
          </wp:inline>
        </w:drawing>
      </w:r>
    </w:p>
    <w:p w14:paraId="31A0E547">
      <w:pPr>
        <w:ind w:left="0" w:leftChars="0" w:firstLine="0" w:firstLineChars="0"/>
        <w:outlineLvl w:val="0"/>
        <w:rPr>
          <w:rFonts w:hint="eastAsia" w:ascii="仿宋_GB2312" w:hAnsi="仿宋_GB2312" w:eastAsia="仿宋_GB2312" w:cs="仿宋_GB2312"/>
          <w:highlight w:val="none"/>
          <w:lang w:val="en-US" w:eastAsia="zh-CN"/>
        </w:rPr>
      </w:pPr>
      <w:bookmarkStart w:id="225" w:name="_Toc213"/>
      <w:bookmarkStart w:id="226" w:name="_Toc8416"/>
      <w:bookmarkStart w:id="227" w:name="_Toc18179"/>
      <w:r>
        <w:rPr>
          <w:rFonts w:hint="eastAsia" w:ascii="仿宋_GB2312" w:hAnsi="仿宋_GB2312" w:eastAsia="仿宋_GB2312" w:cs="仿宋_GB2312"/>
          <w:highlight w:val="none"/>
          <w:lang w:val="en-US" w:eastAsia="zh-CN"/>
        </w:rPr>
        <w:t>附件3：访谈报告</w:t>
      </w:r>
      <w:bookmarkEnd w:id="225"/>
      <w:bookmarkEnd w:id="226"/>
      <w:bookmarkEnd w:id="227"/>
    </w:p>
    <w:p w14:paraId="0B4CD8D9">
      <w:pPr>
        <w:ind w:left="0" w:leftChars="0" w:firstLine="0" w:firstLineChars="0"/>
        <w:rPr>
          <w:rFonts w:hint="eastAsia" w:ascii="仿宋_GB2312" w:hAnsi="仿宋_GB2312" w:eastAsia="仿宋_GB2312" w:cs="仿宋_GB2312"/>
          <w:highlight w:val="none"/>
          <w:lang w:val="en-US" w:eastAsia="zh-CN"/>
        </w:rPr>
      </w:pPr>
    </w:p>
    <w:p w14:paraId="0997E150">
      <w:pPr>
        <w:spacing w:before="189" w:line="223" w:lineRule="auto"/>
        <w:ind w:left="0" w:leftChars="0" w:firstLine="0" w:firstLineChars="0"/>
        <w:jc w:val="center"/>
        <w:rPr>
          <w:rFonts w:hint="eastAsia" w:ascii="仿宋_GB2312" w:hAnsi="仿宋_GB2312" w:eastAsia="仿宋_GB2312" w:cs="仿宋_GB2312"/>
          <w:sz w:val="31"/>
          <w:szCs w:val="31"/>
          <w:highlight w:val="none"/>
        </w:rPr>
      </w:pPr>
      <w:bookmarkStart w:id="228" w:name="bookmark78"/>
      <w:bookmarkEnd w:id="228"/>
      <w:r>
        <w:rPr>
          <w:rFonts w:hint="eastAsia" w:ascii="仿宋_GB2312" w:hAnsi="仿宋_GB2312" w:eastAsia="仿宋_GB2312" w:cs="仿宋_GB2312"/>
          <w:b/>
          <w:bCs/>
          <w:spacing w:val="-9"/>
          <w:sz w:val="31"/>
          <w:szCs w:val="31"/>
          <w:highlight w:val="none"/>
        </w:rPr>
        <w:t>访谈记录</w:t>
      </w:r>
    </w:p>
    <w:p w14:paraId="6AD3225A">
      <w:pPr>
        <w:spacing w:before="184" w:line="221" w:lineRule="auto"/>
        <w:ind w:left="616"/>
        <w:rPr>
          <w:rFonts w:hint="eastAsia" w:ascii="仿宋_GB2312" w:hAnsi="仿宋_GB2312" w:eastAsia="仿宋_GB2312" w:cs="仿宋_GB2312"/>
          <w:sz w:val="31"/>
          <w:szCs w:val="31"/>
          <w:highlight w:val="none"/>
        </w:rPr>
      </w:pPr>
      <w:r>
        <w:rPr>
          <w:rFonts w:hint="eastAsia" w:ascii="仿宋_GB2312" w:hAnsi="仿宋_GB2312" w:eastAsia="仿宋_GB2312" w:cs="仿宋_GB2312"/>
          <w:b/>
          <w:bCs/>
          <w:spacing w:val="-8"/>
          <w:sz w:val="31"/>
          <w:szCs w:val="31"/>
          <w:highlight w:val="none"/>
        </w:rPr>
        <w:t>项目名称：克拉玛依区老旧电梯更新改造项目</w:t>
      </w:r>
    </w:p>
    <w:p w14:paraId="1C6ECC4D">
      <w:pPr>
        <w:spacing w:before="190" w:line="317" w:lineRule="auto"/>
        <w:ind w:left="31" w:right="84" w:firstLine="601"/>
        <w:rPr>
          <w:rFonts w:hint="eastAsia" w:ascii="仿宋_GB2312" w:hAnsi="仿宋_GB2312" w:eastAsia="仿宋_GB2312" w:cs="仿宋_GB2312"/>
          <w:sz w:val="31"/>
          <w:szCs w:val="31"/>
          <w:highlight w:val="none"/>
        </w:rPr>
      </w:pPr>
      <w:r>
        <w:rPr>
          <w:rFonts w:hint="eastAsia" w:ascii="仿宋_GB2312" w:hAnsi="仿宋_GB2312" w:eastAsia="仿宋_GB2312" w:cs="仿宋_GB2312"/>
          <w:b/>
          <w:bCs/>
          <w:spacing w:val="-7"/>
          <w:sz w:val="31"/>
          <w:szCs w:val="31"/>
          <w:highlight w:val="none"/>
        </w:rPr>
        <w:t>1.项目总投资多少万元？202</w:t>
      </w:r>
      <w:r>
        <w:rPr>
          <w:rFonts w:hint="eastAsia" w:ascii="仿宋_GB2312" w:hAnsi="仿宋_GB2312" w:eastAsia="仿宋_GB2312" w:cs="仿宋_GB2312"/>
          <w:b/>
          <w:bCs/>
          <w:spacing w:val="-7"/>
          <w:sz w:val="31"/>
          <w:szCs w:val="31"/>
          <w:highlight w:val="none"/>
          <w:lang w:val="en-US" w:eastAsia="zh-CN"/>
        </w:rPr>
        <w:t>4</w:t>
      </w:r>
      <w:r>
        <w:rPr>
          <w:rFonts w:hint="eastAsia" w:ascii="仿宋_GB2312" w:hAnsi="仿宋_GB2312" w:eastAsia="仿宋_GB2312" w:cs="仿宋_GB2312"/>
          <w:b/>
          <w:bCs/>
          <w:spacing w:val="-7"/>
          <w:sz w:val="31"/>
          <w:szCs w:val="31"/>
          <w:highlight w:val="none"/>
        </w:rPr>
        <w:t>年计划投资多少万元？202</w:t>
      </w:r>
      <w:r>
        <w:rPr>
          <w:rFonts w:hint="eastAsia" w:ascii="仿宋_GB2312" w:hAnsi="仿宋_GB2312" w:eastAsia="仿宋_GB2312" w:cs="仿宋_GB2312"/>
          <w:b/>
          <w:bCs/>
          <w:spacing w:val="-7"/>
          <w:sz w:val="31"/>
          <w:szCs w:val="31"/>
          <w:highlight w:val="none"/>
          <w:lang w:val="en-US" w:eastAsia="zh-CN"/>
        </w:rPr>
        <w:t>4</w:t>
      </w:r>
      <w:r>
        <w:rPr>
          <w:rFonts w:hint="eastAsia" w:ascii="仿宋_GB2312" w:hAnsi="仿宋_GB2312" w:eastAsia="仿宋_GB2312" w:cs="仿宋_GB2312"/>
          <w:b/>
          <w:bCs/>
          <w:spacing w:val="-7"/>
          <w:sz w:val="31"/>
          <w:szCs w:val="31"/>
          <w:highlight w:val="none"/>
        </w:rPr>
        <w:t>年实</w:t>
      </w:r>
      <w:r>
        <w:rPr>
          <w:rFonts w:hint="eastAsia" w:ascii="仿宋_GB2312" w:hAnsi="仿宋_GB2312" w:eastAsia="仿宋_GB2312" w:cs="仿宋_GB2312"/>
          <w:sz w:val="31"/>
          <w:szCs w:val="31"/>
          <w:highlight w:val="none"/>
        </w:rPr>
        <w:t xml:space="preserve"> </w:t>
      </w:r>
      <w:r>
        <w:rPr>
          <w:rFonts w:hint="eastAsia" w:ascii="仿宋_GB2312" w:hAnsi="仿宋_GB2312" w:eastAsia="仿宋_GB2312" w:cs="仿宋_GB2312"/>
          <w:b/>
          <w:bCs/>
          <w:spacing w:val="-11"/>
          <w:sz w:val="31"/>
          <w:szCs w:val="31"/>
          <w:highlight w:val="none"/>
        </w:rPr>
        <w:t>际支出多少万元</w:t>
      </w:r>
      <w:r>
        <w:rPr>
          <w:rFonts w:hint="eastAsia" w:ascii="仿宋_GB2312" w:hAnsi="仿宋_GB2312" w:eastAsia="仿宋_GB2312" w:cs="仿宋_GB2312"/>
          <w:b/>
          <w:bCs/>
          <w:spacing w:val="-31"/>
          <w:sz w:val="31"/>
          <w:szCs w:val="31"/>
          <w:highlight w:val="none"/>
        </w:rPr>
        <w:t>？（</w:t>
      </w:r>
      <w:r>
        <w:rPr>
          <w:rFonts w:hint="eastAsia" w:ascii="仿宋_GB2312" w:hAnsi="仿宋_GB2312" w:eastAsia="仿宋_GB2312" w:cs="仿宋_GB2312"/>
          <w:spacing w:val="-66"/>
          <w:sz w:val="31"/>
          <w:szCs w:val="31"/>
          <w:highlight w:val="none"/>
        </w:rPr>
        <w:t xml:space="preserve"> </w:t>
      </w:r>
      <w:r>
        <w:rPr>
          <w:rFonts w:hint="eastAsia" w:ascii="仿宋_GB2312" w:hAnsi="仿宋_GB2312" w:eastAsia="仿宋_GB2312" w:cs="仿宋_GB2312"/>
          <w:b/>
          <w:bCs/>
          <w:spacing w:val="-11"/>
          <w:sz w:val="31"/>
          <w:szCs w:val="31"/>
          <w:highlight w:val="none"/>
        </w:rPr>
        <w:t>以上每项资金需要有相关资</w:t>
      </w:r>
      <w:r>
        <w:rPr>
          <w:rFonts w:hint="eastAsia" w:ascii="仿宋_GB2312" w:hAnsi="仿宋_GB2312" w:eastAsia="仿宋_GB2312" w:cs="仿宋_GB2312"/>
          <w:b/>
          <w:bCs/>
          <w:spacing w:val="-12"/>
          <w:sz w:val="31"/>
          <w:szCs w:val="31"/>
          <w:highlight w:val="none"/>
        </w:rPr>
        <w:t>料）</w:t>
      </w:r>
    </w:p>
    <w:p w14:paraId="39A3F10E">
      <w:pPr>
        <w:spacing w:before="52" w:line="324" w:lineRule="auto"/>
        <w:ind w:left="17" w:firstLine="604"/>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2024年</w:t>
      </w:r>
      <w:r>
        <w:rPr>
          <w:rFonts w:hint="eastAsia" w:ascii="仿宋_GB2312" w:hAnsi="仿宋_GB2312" w:eastAsia="仿宋_GB2312" w:cs="仿宋_GB2312"/>
          <w:sz w:val="32"/>
          <w:szCs w:val="32"/>
          <w:highlight w:val="none"/>
          <w:lang w:val="en-US" w:eastAsia="zh-CN"/>
        </w:rPr>
        <w:t>克拉玛依区</w:t>
      </w:r>
      <w:r>
        <w:rPr>
          <w:rFonts w:hint="eastAsia" w:ascii="仿宋_GB2312" w:hAnsi="仿宋_GB2312" w:eastAsia="仿宋_GB2312" w:cs="仿宋_GB2312"/>
          <w:sz w:val="32"/>
          <w:szCs w:val="32"/>
          <w:highlight w:val="none"/>
        </w:rPr>
        <w:t>通过安全评估、结合群众意愿，</w:t>
      </w:r>
      <w:r>
        <w:rPr>
          <w:rFonts w:hint="eastAsia" w:ascii="仿宋_GB2312" w:hAnsi="仿宋_GB2312" w:eastAsia="仿宋_GB2312" w:cs="仿宋_GB2312"/>
          <w:sz w:val="32"/>
          <w:szCs w:val="32"/>
          <w:highlight w:val="none"/>
          <w:lang w:val="en-US" w:eastAsia="zh-CN"/>
        </w:rPr>
        <w:t>摸排</w:t>
      </w:r>
      <w:r>
        <w:rPr>
          <w:rFonts w:hint="eastAsia" w:ascii="仿宋_GB2312" w:hAnsi="仿宋_GB2312" w:eastAsia="仿宋_GB2312" w:cs="仿宋_GB2312"/>
          <w:sz w:val="32"/>
          <w:szCs w:val="32"/>
          <w:highlight w:val="none"/>
        </w:rPr>
        <w:t>住宅老旧电梯更新项目共需改造电梯2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部（2009年1月1日前登记运行），概算投资</w:t>
      </w:r>
      <w:r>
        <w:rPr>
          <w:rFonts w:hint="eastAsia" w:ascii="仿宋_GB2312" w:hAnsi="仿宋_GB2312" w:eastAsia="仿宋_GB2312" w:cs="仿宋_GB2312"/>
          <w:sz w:val="32"/>
          <w:szCs w:val="32"/>
          <w:highlight w:val="none"/>
          <w:lang w:val="en-US" w:eastAsia="zh-CN"/>
        </w:rPr>
        <w:t>675</w:t>
      </w:r>
      <w:r>
        <w:rPr>
          <w:rFonts w:hint="eastAsia" w:ascii="仿宋_GB2312" w:hAnsi="仿宋_GB2312" w:eastAsia="仿宋_GB2312" w:cs="仿宋_GB2312"/>
          <w:sz w:val="32"/>
          <w:szCs w:val="32"/>
          <w:highlight w:val="none"/>
        </w:rPr>
        <w:t>万元，申请2024年超长期特别国债资金3</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0万元，</w:t>
      </w:r>
      <w:r>
        <w:rPr>
          <w:rFonts w:hint="eastAsia" w:ascii="仿宋_GB2312" w:hAnsi="仿宋_GB2312" w:eastAsia="仿宋_GB2312" w:cs="仿宋_GB2312"/>
          <w:sz w:val="32"/>
          <w:szCs w:val="32"/>
          <w:highlight w:val="none"/>
          <w:lang w:val="en-US" w:eastAsia="zh-CN"/>
        </w:rPr>
        <w:t>2024年已发放完毕，</w:t>
      </w:r>
      <w:r>
        <w:rPr>
          <w:rFonts w:hint="eastAsia" w:ascii="仿宋_GB2312" w:hAnsi="仿宋_GB2312" w:eastAsia="仿宋_GB2312" w:cs="仿宋_GB2312"/>
          <w:sz w:val="32"/>
          <w:szCs w:val="32"/>
          <w:highlight w:val="none"/>
        </w:rPr>
        <w:t>剩余</w:t>
      </w:r>
      <w:r>
        <w:rPr>
          <w:rFonts w:hint="eastAsia" w:ascii="仿宋_GB2312" w:hAnsi="仿宋_GB2312" w:eastAsia="仿宋_GB2312" w:cs="仿宋_GB2312"/>
          <w:sz w:val="32"/>
          <w:szCs w:val="32"/>
          <w:highlight w:val="none"/>
          <w:lang w:val="en-US" w:eastAsia="zh-CN"/>
        </w:rPr>
        <w:t>资金</w:t>
      </w:r>
      <w:r>
        <w:rPr>
          <w:rFonts w:hint="eastAsia" w:ascii="仿宋_GB2312" w:hAnsi="仿宋_GB2312" w:eastAsia="仿宋_GB2312" w:cs="仿宋_GB2312"/>
          <w:sz w:val="32"/>
          <w:szCs w:val="32"/>
          <w:highlight w:val="none"/>
        </w:rPr>
        <w:t>通过住宅专项维修资金补充方式解决。</w:t>
      </w:r>
    </w:p>
    <w:p w14:paraId="2FF69005">
      <w:pPr>
        <w:spacing w:before="50" w:line="319" w:lineRule="auto"/>
        <w:ind w:right="98" w:firstLine="624"/>
        <w:rPr>
          <w:rFonts w:hint="eastAsia" w:ascii="仿宋_GB2312" w:hAnsi="仿宋_GB2312" w:eastAsia="仿宋_GB2312" w:cs="仿宋_GB2312"/>
          <w:sz w:val="31"/>
          <w:szCs w:val="31"/>
          <w:highlight w:val="none"/>
        </w:rPr>
      </w:pPr>
      <w:r>
        <w:rPr>
          <w:rFonts w:hint="eastAsia" w:ascii="仿宋_GB2312" w:hAnsi="仿宋_GB2312" w:eastAsia="仿宋_GB2312" w:cs="仿宋_GB2312"/>
          <w:b/>
          <w:bCs/>
          <w:spacing w:val="6"/>
          <w:sz w:val="31"/>
          <w:szCs w:val="31"/>
          <w:highlight w:val="none"/>
        </w:rPr>
        <w:t>2.项目组织情况，项目实施过程涉及的单位包括哪些。各单</w:t>
      </w:r>
      <w:r>
        <w:rPr>
          <w:rFonts w:hint="eastAsia" w:ascii="仿宋_GB2312" w:hAnsi="仿宋_GB2312" w:eastAsia="仿宋_GB2312" w:cs="仿宋_GB2312"/>
          <w:spacing w:val="13"/>
          <w:sz w:val="31"/>
          <w:szCs w:val="31"/>
          <w:highlight w:val="none"/>
        </w:rPr>
        <w:t xml:space="preserve"> </w:t>
      </w:r>
      <w:r>
        <w:rPr>
          <w:rFonts w:hint="eastAsia" w:ascii="仿宋_GB2312" w:hAnsi="仿宋_GB2312" w:eastAsia="仿宋_GB2312" w:cs="仿宋_GB2312"/>
          <w:b/>
          <w:bCs/>
          <w:spacing w:val="5"/>
          <w:sz w:val="31"/>
          <w:szCs w:val="31"/>
          <w:highlight w:val="none"/>
        </w:rPr>
        <w:t>位职责分别是什么？</w:t>
      </w:r>
    </w:p>
    <w:p w14:paraId="3EAD0719">
      <w:pPr>
        <w:spacing w:before="47" w:line="331" w:lineRule="auto"/>
        <w:ind w:right="82" w:firstLine="609"/>
        <w:rPr>
          <w:rFonts w:hint="eastAsia" w:ascii="仿宋_GB2312" w:hAnsi="仿宋_GB2312" w:eastAsia="仿宋_GB2312" w:cs="仿宋_GB2312"/>
          <w:spacing w:val="-1"/>
          <w:sz w:val="31"/>
          <w:szCs w:val="31"/>
          <w:highlight w:val="none"/>
          <w:lang w:val="en-US" w:eastAsia="zh-CN"/>
        </w:rPr>
      </w:pPr>
      <w:r>
        <w:rPr>
          <w:rFonts w:hint="eastAsia" w:ascii="仿宋_GB2312" w:hAnsi="仿宋_GB2312" w:eastAsia="仿宋_GB2312" w:cs="仿宋_GB2312"/>
          <w:spacing w:val="-1"/>
          <w:sz w:val="31"/>
          <w:szCs w:val="31"/>
          <w:highlight w:val="none"/>
          <w:lang w:val="en-US" w:eastAsia="zh-CN"/>
        </w:rPr>
        <w:t>项目指导部门：克拉玛依市克拉玛依区住房和城乡建设局，负责老旧住宅电梯更新改造工作的总体指导协调，对老旧住宅电梯更新改造全过程进行监督、评价。负责老旧住宅电梯更新改造支持政策的解读和项目申报指导等工作，同时最好住宅专项维修资金的使用、管理和监督。</w:t>
      </w:r>
    </w:p>
    <w:p w14:paraId="04682272">
      <w:pPr>
        <w:spacing w:before="47" w:line="331" w:lineRule="auto"/>
        <w:ind w:right="82" w:firstLine="609"/>
        <w:rPr>
          <w:rFonts w:hint="eastAsia" w:ascii="仿宋_GB2312" w:hAnsi="仿宋_GB2312" w:eastAsia="仿宋_GB2312" w:cs="仿宋_GB2312"/>
          <w:spacing w:val="-1"/>
          <w:sz w:val="31"/>
          <w:szCs w:val="31"/>
          <w:highlight w:val="none"/>
          <w:lang w:val="en-US" w:eastAsia="zh-CN"/>
        </w:rPr>
      </w:pPr>
      <w:r>
        <w:rPr>
          <w:rFonts w:hint="eastAsia" w:ascii="仿宋_GB2312" w:hAnsi="仿宋_GB2312" w:eastAsia="仿宋_GB2312" w:cs="仿宋_GB2312"/>
          <w:spacing w:val="-1"/>
          <w:sz w:val="31"/>
          <w:szCs w:val="31"/>
          <w:highlight w:val="none"/>
          <w:lang w:val="en-US" w:eastAsia="zh-CN"/>
        </w:rPr>
        <w:t>街道办事处负责老旧住宅电梯更新改造的政策宣传、矛盾协调和方案费用公示等工作。社区负责老旧住宅电梯更新改造的政策宣传、纠纷调解，并协助区住建局、街道做好相关工作。</w:t>
      </w:r>
    </w:p>
    <w:p w14:paraId="61A4D94B">
      <w:pPr>
        <w:spacing w:before="47" w:line="331" w:lineRule="auto"/>
        <w:ind w:right="82" w:firstLine="609"/>
        <w:rPr>
          <w:rFonts w:hint="eastAsia" w:ascii="仿宋_GB2312" w:hAnsi="仿宋_GB2312" w:eastAsia="仿宋_GB2312" w:cs="仿宋_GB2312"/>
          <w:spacing w:val="-1"/>
          <w:sz w:val="31"/>
          <w:szCs w:val="31"/>
          <w:highlight w:val="none"/>
          <w:lang w:val="en-US" w:eastAsia="zh-CN"/>
        </w:rPr>
      </w:pPr>
      <w:r>
        <w:rPr>
          <w:rFonts w:hint="eastAsia" w:ascii="仿宋_GB2312" w:hAnsi="仿宋_GB2312" w:eastAsia="仿宋_GB2312" w:cs="仿宋_GB2312"/>
          <w:spacing w:val="-1"/>
          <w:sz w:val="31"/>
          <w:szCs w:val="31"/>
          <w:highlight w:val="none"/>
        </w:rPr>
        <w:t>该项目建设单位：新疆恒鼎鑫业物业服务有限公司</w:t>
      </w:r>
      <w:r>
        <w:rPr>
          <w:rFonts w:hint="eastAsia" w:ascii="仿宋_GB2312" w:hAnsi="仿宋_GB2312" w:eastAsia="仿宋_GB2312" w:cs="仿宋_GB2312"/>
          <w:spacing w:val="-1"/>
          <w:sz w:val="31"/>
          <w:szCs w:val="31"/>
          <w:highlight w:val="none"/>
          <w:lang w:eastAsia="zh-CN"/>
        </w:rPr>
        <w:t>、克拉玛依华瑞物业服务有限责任公司、克拉玛依市博峰物业服务有限公司、克拉玛依市康润物业服务有限公司、克拉玛依市永升物业服务有限责任公司；</w:t>
      </w:r>
      <w:r>
        <w:rPr>
          <w:rFonts w:hint="eastAsia" w:ascii="仿宋_GB2312" w:hAnsi="仿宋_GB2312" w:eastAsia="仿宋_GB2312" w:cs="仿宋_GB2312"/>
          <w:spacing w:val="-1"/>
          <w:sz w:val="31"/>
          <w:szCs w:val="31"/>
          <w:highlight w:val="none"/>
          <w:lang w:val="en-US" w:eastAsia="zh-CN"/>
        </w:rPr>
        <w:t>上述物业服务企业作为项目的申请人，是项目的实施主体，负责意见统一、资金筹集、项目报建、招标采购、项目实施等工作，依法承担项目建设单位的相关责任和义务。</w:t>
      </w:r>
    </w:p>
    <w:p w14:paraId="5FF7DB1E">
      <w:pPr>
        <w:spacing w:before="51" w:line="222" w:lineRule="auto"/>
        <w:rPr>
          <w:rFonts w:hint="eastAsia" w:ascii="仿宋_GB2312" w:hAnsi="仿宋_GB2312" w:eastAsia="仿宋_GB2312" w:cs="仿宋_GB2312"/>
          <w:sz w:val="31"/>
          <w:szCs w:val="31"/>
          <w:highlight w:val="none"/>
        </w:rPr>
      </w:pPr>
      <w:r>
        <w:rPr>
          <w:rFonts w:hint="eastAsia" w:ascii="仿宋_GB2312" w:hAnsi="仿宋_GB2312" w:eastAsia="仿宋_GB2312" w:cs="仿宋_GB2312"/>
          <w:b/>
          <w:bCs/>
          <w:spacing w:val="6"/>
          <w:sz w:val="31"/>
          <w:szCs w:val="31"/>
          <w:highlight w:val="none"/>
        </w:rPr>
        <w:t>3.项目实施进展情况，项目从立项开始到目前完成了那些工</w:t>
      </w:r>
      <w:r>
        <w:rPr>
          <w:rFonts w:hint="eastAsia" w:ascii="仿宋_GB2312" w:hAnsi="仿宋_GB2312" w:eastAsia="仿宋_GB2312" w:cs="仿宋_GB2312"/>
          <w:b/>
          <w:bCs/>
          <w:spacing w:val="-7"/>
          <w:sz w:val="31"/>
          <w:szCs w:val="31"/>
          <w:highlight w:val="none"/>
        </w:rPr>
        <w:t>作？</w:t>
      </w:r>
    </w:p>
    <w:p w14:paraId="6A8E8BB8">
      <w:pPr>
        <w:keepNext w:val="0"/>
        <w:keepLines w:val="0"/>
        <w:pageBreakBefore w:val="0"/>
        <w:widowControl/>
        <w:kinsoku/>
        <w:wordWrap/>
        <w:overflowPunct/>
        <w:topLinePunct w:val="0"/>
        <w:autoSpaceDE/>
        <w:autoSpaceDN/>
        <w:bidi w:val="0"/>
        <w:adjustRightInd w:val="0"/>
        <w:snapToGrid w:val="0"/>
        <w:spacing w:before="190" w:line="329" w:lineRule="auto"/>
        <w:ind w:left="17" w:firstLine="595"/>
        <w:textAlignment w:val="baseline"/>
        <w:rPr>
          <w:rFonts w:hint="eastAsia" w:ascii="仿宋_GB2312" w:hAnsi="仿宋_GB2312" w:eastAsia="仿宋_GB2312" w:cs="仿宋_GB2312"/>
          <w:sz w:val="32"/>
          <w:szCs w:val="32"/>
          <w:highlight w:val="none"/>
        </w:rPr>
      </w:pPr>
      <w:r>
        <w:rPr>
          <w:rFonts w:hint="eastAsia" w:ascii="仿宋_GB2312" w:hAnsi="仿宋_GB2312" w:eastAsia="仿宋_GB2312" w:cs="仿宋_GB2312"/>
          <w:spacing w:val="-70"/>
          <w:sz w:val="32"/>
          <w:szCs w:val="32"/>
          <w:highlight w:val="none"/>
        </w:rPr>
        <w:t xml:space="preserve"> </w:t>
      </w:r>
      <w:r>
        <w:rPr>
          <w:rFonts w:hint="eastAsia" w:ascii="仿宋_GB2312" w:hAnsi="仿宋_GB2312" w:eastAsia="仿宋_GB2312" w:cs="仿宋_GB2312"/>
          <w:spacing w:val="-15"/>
          <w:sz w:val="32"/>
          <w:szCs w:val="32"/>
          <w:highlight w:val="none"/>
        </w:rPr>
        <w:t>202</w:t>
      </w:r>
      <w:r>
        <w:rPr>
          <w:rFonts w:hint="eastAsia" w:ascii="仿宋_GB2312" w:hAnsi="仿宋_GB2312" w:eastAsia="仿宋_GB2312" w:cs="仿宋_GB2312"/>
          <w:spacing w:val="-15"/>
          <w:sz w:val="32"/>
          <w:szCs w:val="32"/>
          <w:highlight w:val="none"/>
          <w:lang w:val="en-US" w:eastAsia="zh-CN"/>
        </w:rPr>
        <w:t>4</w:t>
      </w:r>
      <w:r>
        <w:rPr>
          <w:rFonts w:hint="eastAsia" w:ascii="仿宋_GB2312" w:hAnsi="仿宋_GB2312" w:eastAsia="仿宋_GB2312" w:cs="仿宋_GB2312"/>
          <w:spacing w:val="-15"/>
          <w:sz w:val="32"/>
          <w:szCs w:val="32"/>
          <w:highlight w:val="none"/>
        </w:rPr>
        <w:t>年</w:t>
      </w:r>
      <w:r>
        <w:rPr>
          <w:rFonts w:hint="eastAsia" w:ascii="仿宋_GB2312" w:hAnsi="仿宋_GB2312" w:eastAsia="仿宋_GB2312" w:cs="仿宋_GB2312"/>
          <w:spacing w:val="-70"/>
          <w:sz w:val="32"/>
          <w:szCs w:val="32"/>
          <w:highlight w:val="none"/>
          <w:lang w:val="en-US" w:eastAsia="zh-CN"/>
        </w:rPr>
        <w:t>8</w:t>
      </w:r>
      <w:r>
        <w:rPr>
          <w:rFonts w:hint="eastAsia" w:ascii="仿宋_GB2312" w:hAnsi="仿宋_GB2312" w:eastAsia="仿宋_GB2312" w:cs="仿宋_GB2312"/>
          <w:spacing w:val="-15"/>
          <w:sz w:val="32"/>
          <w:szCs w:val="32"/>
          <w:highlight w:val="none"/>
          <w:lang w:val="en-US" w:eastAsia="zh-CN"/>
        </w:rPr>
        <w:t>月各项目实施单位完成项目备案手续，并及时录入国家重大项目建设库。2024年11月，上级补贴资金到位，2024年12月与电梯厂家签订合同，2025年1月开始施工安装，2025年4月陆续竣工</w:t>
      </w:r>
      <w:r>
        <w:rPr>
          <w:rFonts w:hint="eastAsia" w:ascii="仿宋_GB2312" w:hAnsi="仿宋_GB2312" w:eastAsia="仿宋_GB2312" w:cs="仿宋_GB2312"/>
          <w:spacing w:val="-8"/>
          <w:sz w:val="32"/>
          <w:szCs w:val="32"/>
          <w:highlight w:val="none"/>
        </w:rPr>
        <w:t>。</w:t>
      </w:r>
    </w:p>
    <w:p w14:paraId="38A5A680">
      <w:pPr>
        <w:spacing w:before="58" w:line="323" w:lineRule="auto"/>
        <w:ind w:left="7" w:right="146" w:firstLine="618"/>
        <w:jc w:val="both"/>
        <w:rPr>
          <w:rFonts w:hint="eastAsia" w:ascii="仿宋_GB2312" w:hAnsi="仿宋_GB2312" w:eastAsia="仿宋_GB2312" w:cs="仿宋_GB2312"/>
          <w:sz w:val="31"/>
          <w:szCs w:val="31"/>
          <w:highlight w:val="none"/>
        </w:rPr>
      </w:pPr>
      <w:r>
        <w:rPr>
          <w:rFonts w:hint="eastAsia" w:ascii="仿宋_GB2312" w:hAnsi="仿宋_GB2312" w:eastAsia="仿宋_GB2312" w:cs="仿宋_GB2312"/>
          <w:b/>
          <w:bCs/>
          <w:spacing w:val="-4"/>
          <w:sz w:val="31"/>
          <w:szCs w:val="31"/>
          <w:highlight w:val="none"/>
        </w:rPr>
        <w:t>4.请您简要介绍为保障项目顺利开展、（成</w:t>
      </w:r>
      <w:r>
        <w:rPr>
          <w:rFonts w:hint="eastAsia" w:ascii="仿宋_GB2312" w:hAnsi="仿宋_GB2312" w:eastAsia="仿宋_GB2312" w:cs="仿宋_GB2312"/>
          <w:b/>
          <w:bCs/>
          <w:spacing w:val="-5"/>
          <w:sz w:val="31"/>
          <w:szCs w:val="31"/>
          <w:highlight w:val="none"/>
        </w:rPr>
        <w:t>本管理）资金的合理支出，贵单位制定了哪些管理办法？实际采取过哪些监管与管理措施</w:t>
      </w:r>
    </w:p>
    <w:p w14:paraId="56466A3F">
      <w:pPr>
        <w:spacing w:before="47" w:line="328" w:lineRule="auto"/>
        <w:ind w:left="2" w:right="146" w:firstLine="632"/>
        <w:rPr>
          <w:rFonts w:hint="eastAsia" w:ascii="仿宋_GB2312" w:hAnsi="仿宋_GB2312" w:eastAsia="仿宋_GB2312" w:cs="仿宋_GB2312"/>
          <w:sz w:val="31"/>
          <w:szCs w:val="31"/>
          <w:highlight w:val="none"/>
        </w:rPr>
      </w:pPr>
      <w:r>
        <w:rPr>
          <w:rFonts w:hint="eastAsia" w:ascii="仿宋_GB2312" w:hAnsi="仿宋_GB2312" w:eastAsia="仿宋_GB2312" w:cs="仿宋_GB2312"/>
          <w:spacing w:val="-6"/>
          <w:sz w:val="31"/>
          <w:szCs w:val="31"/>
          <w:highlight w:val="none"/>
          <w:lang w:val="en-US" w:eastAsia="zh-CN"/>
        </w:rPr>
        <w:t>由于</w:t>
      </w:r>
      <w:r>
        <w:rPr>
          <w:rFonts w:hint="eastAsia" w:ascii="仿宋_GB2312" w:hAnsi="仿宋_GB2312" w:eastAsia="仿宋_GB2312" w:cs="仿宋_GB2312"/>
          <w:spacing w:val="-6"/>
          <w:sz w:val="31"/>
          <w:szCs w:val="31"/>
          <w:highlight w:val="none"/>
        </w:rPr>
        <w:t>高层住宅换电梯目前尚无统一的指导性政策。</w:t>
      </w:r>
      <w:r>
        <w:rPr>
          <w:rFonts w:hint="eastAsia" w:ascii="仿宋_GB2312" w:hAnsi="仿宋_GB2312" w:eastAsia="仿宋_GB2312" w:cs="仿宋_GB2312"/>
          <w:spacing w:val="-6"/>
          <w:sz w:val="31"/>
          <w:szCs w:val="31"/>
          <w:highlight w:val="none"/>
          <w:lang w:val="en-US" w:eastAsia="zh-CN"/>
        </w:rPr>
        <w:t>我们结合本地实际，制定了《</w:t>
      </w:r>
      <w:r>
        <w:rPr>
          <w:rFonts w:hint="eastAsia" w:ascii="仿宋_GB2312" w:hAnsi="仿宋_GB2312" w:eastAsia="仿宋_GB2312" w:cs="仿宋_GB2312"/>
          <w:spacing w:val="-6"/>
          <w:sz w:val="31"/>
          <w:szCs w:val="31"/>
          <w:highlight w:val="none"/>
        </w:rPr>
        <w:t>克拉玛依区老旧住宅电梯更新实施方案</w:t>
      </w:r>
      <w:r>
        <w:rPr>
          <w:rFonts w:hint="eastAsia" w:ascii="仿宋_GB2312" w:hAnsi="仿宋_GB2312" w:eastAsia="仿宋_GB2312" w:cs="仿宋_GB2312"/>
          <w:spacing w:val="-6"/>
          <w:sz w:val="31"/>
          <w:szCs w:val="31"/>
          <w:highlight w:val="none"/>
          <w:lang w:eastAsia="zh-CN"/>
        </w:rPr>
        <w:t>》《</w:t>
      </w:r>
      <w:r>
        <w:rPr>
          <w:rFonts w:hint="eastAsia" w:ascii="仿宋_GB2312" w:hAnsi="仿宋_GB2312" w:eastAsia="仿宋_GB2312" w:cs="仿宋_GB2312"/>
          <w:spacing w:val="-6"/>
          <w:sz w:val="31"/>
          <w:szCs w:val="31"/>
          <w:highlight w:val="none"/>
        </w:rPr>
        <w:t>电梯更新政策解释</w:t>
      </w:r>
      <w:r>
        <w:rPr>
          <w:rFonts w:hint="eastAsia" w:ascii="仿宋_GB2312" w:hAnsi="仿宋_GB2312" w:eastAsia="仿宋_GB2312" w:cs="仿宋_GB2312"/>
          <w:spacing w:val="-6"/>
          <w:sz w:val="31"/>
          <w:szCs w:val="31"/>
          <w:highlight w:val="none"/>
          <w:lang w:eastAsia="zh-CN"/>
        </w:rPr>
        <w:t>》</w:t>
      </w:r>
      <w:r>
        <w:rPr>
          <w:rFonts w:hint="eastAsia" w:ascii="仿宋_GB2312" w:hAnsi="仿宋_GB2312" w:eastAsia="仿宋_GB2312" w:cs="仿宋_GB2312"/>
          <w:spacing w:val="-6"/>
          <w:sz w:val="31"/>
          <w:szCs w:val="31"/>
          <w:highlight w:val="none"/>
          <w:lang w:val="en-US" w:eastAsia="zh-CN"/>
        </w:rPr>
        <w:t>向业主普及法规政策和安全知识，提升业主作为电梯共有产权人的权责意识，引导落实产权人对电梯更新、运行维护的出资责任，营造良好安全氛围。</w:t>
      </w:r>
    </w:p>
    <w:p w14:paraId="5B9D44B8">
      <w:pPr>
        <w:spacing w:before="49" w:line="319" w:lineRule="auto"/>
        <w:ind w:left="8" w:right="146" w:firstLine="622"/>
        <w:rPr>
          <w:rFonts w:hint="eastAsia" w:ascii="仿宋_GB2312" w:hAnsi="仿宋_GB2312" w:eastAsia="仿宋_GB2312" w:cs="仿宋_GB2312"/>
          <w:sz w:val="31"/>
          <w:szCs w:val="31"/>
          <w:highlight w:val="none"/>
        </w:rPr>
      </w:pPr>
      <w:r>
        <w:rPr>
          <w:rFonts w:hint="eastAsia" w:ascii="仿宋_GB2312" w:hAnsi="仿宋_GB2312" w:eastAsia="仿宋_GB2312" w:cs="仿宋_GB2312"/>
          <w:b/>
          <w:bCs/>
          <w:spacing w:val="-5"/>
          <w:sz w:val="31"/>
          <w:szCs w:val="31"/>
          <w:highlight w:val="none"/>
        </w:rPr>
        <w:t>5.是否有外部监督检查（新疆监管局、上级审计、纪检、当地</w:t>
      </w:r>
      <w:r>
        <w:rPr>
          <w:rFonts w:hint="eastAsia" w:ascii="仿宋_GB2312" w:hAnsi="仿宋_GB2312" w:eastAsia="仿宋_GB2312" w:cs="仿宋_GB2312"/>
          <w:spacing w:val="15"/>
          <w:sz w:val="31"/>
          <w:szCs w:val="31"/>
          <w:highlight w:val="none"/>
        </w:rPr>
        <w:t xml:space="preserve"> </w:t>
      </w:r>
      <w:r>
        <w:rPr>
          <w:rFonts w:hint="eastAsia" w:ascii="仿宋_GB2312" w:hAnsi="仿宋_GB2312" w:eastAsia="仿宋_GB2312" w:cs="仿宋_GB2312"/>
          <w:b/>
          <w:bCs/>
          <w:spacing w:val="-8"/>
          <w:sz w:val="31"/>
          <w:szCs w:val="31"/>
          <w:highlight w:val="none"/>
        </w:rPr>
        <w:t>质监站）相关情况？</w:t>
      </w:r>
    </w:p>
    <w:p w14:paraId="1718EED1">
      <w:pPr>
        <w:spacing w:before="49" w:line="317" w:lineRule="auto"/>
        <w:ind w:left="3" w:right="146" w:firstLine="614"/>
        <w:rPr>
          <w:rFonts w:hint="eastAsia" w:ascii="仿宋_GB2312" w:hAnsi="仿宋_GB2312" w:eastAsia="仿宋_GB2312" w:cs="仿宋_GB2312"/>
          <w:sz w:val="31"/>
          <w:szCs w:val="31"/>
          <w:highlight w:val="none"/>
          <w:lang w:val="en-US" w:eastAsia="zh-CN"/>
        </w:rPr>
      </w:pPr>
      <w:r>
        <w:rPr>
          <w:rFonts w:hint="eastAsia" w:ascii="仿宋_GB2312" w:hAnsi="仿宋_GB2312" w:eastAsia="仿宋_GB2312" w:cs="仿宋_GB2312"/>
          <w:spacing w:val="-10"/>
          <w:sz w:val="31"/>
          <w:szCs w:val="31"/>
          <w:highlight w:val="none"/>
          <w:lang w:val="en-US" w:eastAsia="zh-CN"/>
        </w:rPr>
        <w:t>2025年7</w:t>
      </w:r>
      <w:r>
        <w:rPr>
          <w:rFonts w:hint="eastAsia" w:ascii="仿宋_GB2312" w:hAnsi="仿宋_GB2312" w:eastAsia="仿宋_GB2312" w:cs="仿宋_GB2312"/>
          <w:spacing w:val="-58"/>
          <w:sz w:val="31"/>
          <w:szCs w:val="31"/>
          <w:highlight w:val="none"/>
        </w:rPr>
        <w:t xml:space="preserve"> </w:t>
      </w:r>
      <w:r>
        <w:rPr>
          <w:rFonts w:hint="eastAsia" w:ascii="仿宋_GB2312" w:hAnsi="仿宋_GB2312" w:eastAsia="仿宋_GB2312" w:cs="仿宋_GB2312"/>
          <w:spacing w:val="-10"/>
          <w:sz w:val="31"/>
          <w:szCs w:val="31"/>
          <w:highlight w:val="none"/>
        </w:rPr>
        <w:t>月</w:t>
      </w:r>
      <w:r>
        <w:rPr>
          <w:rFonts w:hint="eastAsia" w:ascii="仿宋_GB2312" w:hAnsi="仿宋_GB2312" w:eastAsia="仿宋_GB2312" w:cs="仿宋_GB2312"/>
          <w:spacing w:val="-70"/>
          <w:sz w:val="31"/>
          <w:szCs w:val="31"/>
          <w:highlight w:val="none"/>
        </w:rPr>
        <w:t xml:space="preserve"> </w:t>
      </w:r>
      <w:r>
        <w:rPr>
          <w:rFonts w:hint="eastAsia" w:ascii="仿宋_GB2312" w:hAnsi="仿宋_GB2312" w:eastAsia="仿宋_GB2312" w:cs="仿宋_GB2312"/>
          <w:spacing w:val="-10"/>
          <w:sz w:val="31"/>
          <w:szCs w:val="31"/>
          <w:highlight w:val="none"/>
          <w:lang w:val="en-US" w:eastAsia="zh-CN"/>
        </w:rPr>
        <w:t>9</w:t>
      </w:r>
      <w:r>
        <w:rPr>
          <w:rFonts w:hint="eastAsia" w:ascii="仿宋_GB2312" w:hAnsi="仿宋_GB2312" w:eastAsia="仿宋_GB2312" w:cs="仿宋_GB2312"/>
          <w:spacing w:val="-10"/>
          <w:sz w:val="31"/>
          <w:szCs w:val="31"/>
          <w:highlight w:val="none"/>
        </w:rPr>
        <w:t>日新疆监管局</w:t>
      </w:r>
      <w:r>
        <w:rPr>
          <w:rFonts w:hint="eastAsia" w:ascii="仿宋_GB2312" w:hAnsi="仿宋_GB2312" w:eastAsia="仿宋_GB2312" w:cs="仿宋_GB2312"/>
          <w:spacing w:val="-10"/>
          <w:sz w:val="31"/>
          <w:szCs w:val="31"/>
          <w:highlight w:val="none"/>
          <w:lang w:val="en-US" w:eastAsia="zh-CN"/>
        </w:rPr>
        <w:t>对项目相关</w:t>
      </w:r>
      <w:r>
        <w:rPr>
          <w:rFonts w:hint="eastAsia" w:ascii="仿宋_GB2312" w:hAnsi="仿宋_GB2312" w:eastAsia="仿宋_GB2312" w:cs="仿宋_GB2312"/>
          <w:spacing w:val="-5"/>
          <w:sz w:val="31"/>
          <w:szCs w:val="31"/>
          <w:highlight w:val="none"/>
        </w:rPr>
        <w:t>材料</w:t>
      </w:r>
      <w:r>
        <w:rPr>
          <w:rFonts w:hint="eastAsia" w:ascii="仿宋_GB2312" w:hAnsi="仿宋_GB2312" w:eastAsia="仿宋_GB2312" w:cs="仿宋_GB2312"/>
          <w:spacing w:val="-5"/>
          <w:sz w:val="31"/>
          <w:szCs w:val="31"/>
          <w:highlight w:val="none"/>
          <w:lang w:val="en-US" w:eastAsia="zh-CN"/>
        </w:rPr>
        <w:t>进行了</w:t>
      </w:r>
      <w:r>
        <w:rPr>
          <w:rFonts w:hint="eastAsia" w:ascii="仿宋_GB2312" w:hAnsi="仿宋_GB2312" w:eastAsia="仿宋_GB2312" w:cs="仿宋_GB2312"/>
          <w:spacing w:val="-5"/>
          <w:sz w:val="31"/>
          <w:szCs w:val="31"/>
          <w:highlight w:val="none"/>
        </w:rPr>
        <w:t>抽查。</w:t>
      </w:r>
      <w:r>
        <w:rPr>
          <w:rFonts w:hint="eastAsia" w:ascii="仿宋_GB2312" w:hAnsi="仿宋_GB2312" w:eastAsia="仿宋_GB2312" w:cs="仿宋_GB2312"/>
          <w:spacing w:val="-5"/>
          <w:sz w:val="31"/>
          <w:szCs w:val="31"/>
          <w:highlight w:val="none"/>
          <w:lang w:val="en-US" w:eastAsia="zh-CN"/>
        </w:rPr>
        <w:t>未反馈问题。</w:t>
      </w:r>
    </w:p>
    <w:p w14:paraId="0823BFC6">
      <w:pPr>
        <w:spacing w:before="56" w:line="318" w:lineRule="auto"/>
        <w:ind w:left="11" w:right="334" w:firstLine="618"/>
        <w:rPr>
          <w:rFonts w:hint="eastAsia" w:ascii="仿宋_GB2312" w:hAnsi="仿宋_GB2312" w:eastAsia="仿宋_GB2312" w:cs="仿宋_GB2312"/>
          <w:sz w:val="31"/>
          <w:szCs w:val="31"/>
          <w:highlight w:val="none"/>
        </w:rPr>
      </w:pPr>
      <w:r>
        <w:rPr>
          <w:rFonts w:hint="eastAsia" w:ascii="仿宋_GB2312" w:hAnsi="仿宋_GB2312" w:eastAsia="仿宋_GB2312" w:cs="仿宋_GB2312"/>
          <w:b/>
          <w:bCs/>
          <w:spacing w:val="-5"/>
          <w:sz w:val="31"/>
          <w:szCs w:val="31"/>
          <w:highlight w:val="none"/>
        </w:rPr>
        <w:t>6.您认为本项目资金的使用达到了什么效益</w:t>
      </w:r>
      <w:r>
        <w:rPr>
          <w:rFonts w:hint="eastAsia" w:ascii="仿宋_GB2312" w:hAnsi="仿宋_GB2312" w:eastAsia="仿宋_GB2312" w:cs="仿宋_GB2312"/>
          <w:b/>
          <w:bCs/>
          <w:spacing w:val="-87"/>
          <w:sz w:val="31"/>
          <w:szCs w:val="31"/>
          <w:highlight w:val="none"/>
        </w:rPr>
        <w:t>？（</w:t>
      </w:r>
      <w:r>
        <w:rPr>
          <w:rFonts w:hint="eastAsia" w:ascii="仿宋_GB2312" w:hAnsi="仿宋_GB2312" w:eastAsia="仿宋_GB2312" w:cs="仿宋_GB2312"/>
          <w:b/>
          <w:bCs/>
          <w:spacing w:val="-5"/>
          <w:sz w:val="31"/>
          <w:szCs w:val="31"/>
          <w:highlight w:val="none"/>
        </w:rPr>
        <w:t>经济/社会</w:t>
      </w:r>
      <w:r>
        <w:rPr>
          <w:rFonts w:hint="eastAsia" w:ascii="仿宋_GB2312" w:hAnsi="仿宋_GB2312" w:eastAsia="仿宋_GB2312" w:cs="仿宋_GB2312"/>
          <w:b/>
          <w:bCs/>
          <w:spacing w:val="-87"/>
          <w:sz w:val="31"/>
          <w:szCs w:val="31"/>
          <w:highlight w:val="none"/>
        </w:rPr>
        <w:t>）？</w:t>
      </w:r>
      <w:r>
        <w:rPr>
          <w:rFonts w:hint="eastAsia" w:ascii="仿宋_GB2312" w:hAnsi="仿宋_GB2312" w:eastAsia="仿宋_GB2312" w:cs="仿宋_GB2312"/>
          <w:spacing w:val="3"/>
          <w:sz w:val="31"/>
          <w:szCs w:val="31"/>
          <w:highlight w:val="none"/>
        </w:rPr>
        <w:t xml:space="preserve"> </w:t>
      </w:r>
      <w:r>
        <w:rPr>
          <w:rFonts w:hint="eastAsia" w:ascii="仿宋_GB2312" w:hAnsi="仿宋_GB2312" w:eastAsia="仿宋_GB2312" w:cs="仿宋_GB2312"/>
          <w:b/>
          <w:bCs/>
          <w:spacing w:val="-8"/>
          <w:sz w:val="31"/>
          <w:szCs w:val="31"/>
          <w:highlight w:val="none"/>
        </w:rPr>
        <w:t>取得了哪些成绩？</w:t>
      </w:r>
    </w:p>
    <w:p w14:paraId="79A50100">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596" w:firstLineChars="200"/>
        <w:jc w:val="both"/>
        <w:textAlignment w:val="baseline"/>
        <w:rPr>
          <w:rFonts w:hint="eastAsia" w:ascii="仿宋_GB2312" w:hAnsi="仿宋_GB2312" w:eastAsia="仿宋_GB2312" w:cs="仿宋_GB2312"/>
          <w:spacing w:val="-6"/>
          <w:sz w:val="31"/>
          <w:szCs w:val="31"/>
          <w:highlight w:val="none"/>
        </w:rPr>
      </w:pPr>
      <w:r>
        <w:rPr>
          <w:rFonts w:hint="eastAsia" w:ascii="仿宋_GB2312" w:hAnsi="仿宋_GB2312" w:eastAsia="仿宋_GB2312" w:cs="仿宋_GB2312"/>
          <w:spacing w:val="-6"/>
          <w:sz w:val="31"/>
          <w:szCs w:val="31"/>
          <w:highlight w:val="none"/>
        </w:rPr>
        <w:t>随着经济发展、生活水平提高，电梯已成为一种大众日常通勤工具。但随着使用年限的增长，电梯逐渐“老化”，出现运行缓慢、故障频发、能耗高等一系列问题。这些问题不仅影响居民日常出行，更对居民的生活品质和安全造成了潜在威胁。</w:t>
      </w:r>
    </w:p>
    <w:p w14:paraId="279ED110">
      <w:pPr>
        <w:spacing w:before="100" w:line="323" w:lineRule="auto"/>
        <w:ind w:left="8" w:hanging="8"/>
        <w:jc w:val="both"/>
        <w:rPr>
          <w:rFonts w:hint="eastAsia" w:ascii="仿宋_GB2312" w:hAnsi="仿宋_GB2312" w:eastAsia="仿宋_GB2312" w:cs="仿宋_GB2312"/>
          <w:sz w:val="31"/>
          <w:szCs w:val="31"/>
          <w:highlight w:val="none"/>
        </w:rPr>
      </w:pPr>
      <w:r>
        <w:rPr>
          <w:rFonts w:hint="eastAsia" w:ascii="仿宋_GB2312" w:hAnsi="仿宋_GB2312" w:eastAsia="仿宋_GB2312" w:cs="仿宋_GB2312"/>
          <w:spacing w:val="-6"/>
          <w:sz w:val="31"/>
          <w:szCs w:val="31"/>
          <w:highlight w:val="none"/>
        </w:rPr>
        <w:t>2024年8月，国家将住宅老旧电梯更新改造纳入超长期特别国债资金支持范围，支持各地更新使用15年以上（2009年1月1日前办理使用登记）的住宅老旧电梯，项目的实施彻底解决</w:t>
      </w:r>
      <w:r>
        <w:rPr>
          <w:rFonts w:hint="eastAsia" w:ascii="仿宋_GB2312" w:hAnsi="仿宋_GB2312" w:eastAsia="仿宋_GB2312" w:cs="仿宋_GB2312"/>
          <w:spacing w:val="-6"/>
          <w:sz w:val="31"/>
          <w:szCs w:val="31"/>
          <w:highlight w:val="none"/>
          <w:lang w:val="en-US" w:eastAsia="zh-CN"/>
        </w:rPr>
        <w:t>了</w:t>
      </w:r>
      <w:r>
        <w:rPr>
          <w:rFonts w:hint="eastAsia" w:ascii="仿宋_GB2312" w:hAnsi="仿宋_GB2312" w:eastAsia="仿宋_GB2312" w:cs="仿宋_GB2312"/>
          <w:spacing w:val="-6"/>
          <w:sz w:val="31"/>
          <w:szCs w:val="31"/>
          <w:highlight w:val="none"/>
        </w:rPr>
        <w:t>老旧电梯故障率高、运行不稳定的难题，有效保障电梯运行的安全可靠性，提升乘坐的舒适度，实现运行节能，得到了广大受益业主的一致认可和好评。</w:t>
      </w:r>
    </w:p>
    <w:p w14:paraId="2A2D143D">
      <w:pPr>
        <w:spacing w:before="52" w:line="220" w:lineRule="auto"/>
        <w:rPr>
          <w:rFonts w:hint="eastAsia" w:ascii="仿宋_GB2312" w:hAnsi="仿宋_GB2312" w:eastAsia="仿宋_GB2312" w:cs="仿宋_GB2312"/>
          <w:sz w:val="31"/>
          <w:szCs w:val="31"/>
          <w:highlight w:val="none"/>
        </w:rPr>
      </w:pPr>
      <w:r>
        <w:rPr>
          <w:rFonts w:hint="eastAsia" w:ascii="仿宋_GB2312" w:hAnsi="仿宋_GB2312" w:eastAsia="仿宋_GB2312" w:cs="仿宋_GB2312"/>
          <w:b/>
          <w:bCs/>
          <w:spacing w:val="-9"/>
          <w:sz w:val="31"/>
          <w:szCs w:val="31"/>
          <w:highlight w:val="none"/>
        </w:rPr>
        <w:t>7.项目实施过程中存在的问题及遇到的困难？</w:t>
      </w:r>
    </w:p>
    <w:p w14:paraId="7EAEAAEB">
      <w:pPr>
        <w:spacing w:before="100" w:line="323" w:lineRule="auto"/>
        <w:ind w:firstLine="596" w:firstLineChars="200"/>
        <w:jc w:val="both"/>
        <w:rPr>
          <w:rFonts w:hint="eastAsia" w:ascii="仿宋_GB2312" w:hAnsi="仿宋_GB2312" w:eastAsia="仿宋_GB2312" w:cs="仿宋_GB2312"/>
          <w:spacing w:val="-6"/>
          <w:sz w:val="31"/>
          <w:szCs w:val="31"/>
          <w:highlight w:val="none"/>
          <w:lang w:val="en-US" w:eastAsia="zh-CN"/>
        </w:rPr>
      </w:pPr>
      <w:r>
        <w:rPr>
          <w:rFonts w:hint="eastAsia" w:ascii="仿宋_GB2312" w:hAnsi="仿宋_GB2312" w:eastAsia="仿宋_GB2312" w:cs="仿宋_GB2312"/>
          <w:spacing w:val="-6"/>
          <w:sz w:val="31"/>
          <w:szCs w:val="31"/>
          <w:highlight w:val="none"/>
          <w:lang w:val="en-US" w:eastAsia="zh-CN"/>
        </w:rPr>
        <w:t>主要是</w:t>
      </w:r>
      <w:r>
        <w:rPr>
          <w:rFonts w:hint="eastAsia" w:ascii="仿宋_GB2312" w:hAnsi="仿宋_GB2312" w:eastAsia="仿宋_GB2312" w:cs="仿宋_GB2312"/>
          <w:spacing w:val="-6"/>
          <w:sz w:val="31"/>
          <w:szCs w:val="31"/>
          <w:highlight w:val="none"/>
        </w:rPr>
        <w:t>老旧电梯的更换费用问题</w:t>
      </w:r>
      <w:r>
        <w:rPr>
          <w:rFonts w:hint="eastAsia" w:ascii="仿宋_GB2312" w:hAnsi="仿宋_GB2312" w:eastAsia="仿宋_GB2312" w:cs="仿宋_GB2312"/>
          <w:spacing w:val="-6"/>
          <w:sz w:val="31"/>
          <w:szCs w:val="31"/>
          <w:highlight w:val="none"/>
          <w:lang w:eastAsia="zh-CN"/>
        </w:rPr>
        <w:t>，</w:t>
      </w:r>
      <w:r>
        <w:rPr>
          <w:rFonts w:hint="eastAsia" w:ascii="仿宋_GB2312" w:hAnsi="仿宋_GB2312" w:eastAsia="仿宋_GB2312" w:cs="仿宋_GB2312"/>
          <w:spacing w:val="-6"/>
          <w:sz w:val="31"/>
          <w:szCs w:val="31"/>
          <w:highlight w:val="none"/>
        </w:rPr>
        <w:t>电梯作为业主的共用设施和财产，其更换责任应由业主承担。若小区设有专项维修资金，可向相关部门申请使用。对于那些较早建设且未缴纳专项维修资金的小区，更换费用则需由业主共同分担。</w:t>
      </w:r>
      <w:r>
        <w:rPr>
          <w:rFonts w:hint="eastAsia" w:ascii="仿宋_GB2312" w:hAnsi="仿宋_GB2312" w:eastAsia="仿宋_GB2312" w:cs="仿宋_GB2312"/>
          <w:spacing w:val="-6"/>
          <w:sz w:val="31"/>
          <w:szCs w:val="31"/>
          <w:highlight w:val="none"/>
          <w:lang w:val="en-US" w:eastAsia="zh-CN"/>
        </w:rPr>
        <w:t>因此沟通成本高、缺乏牵头人、资金协调难等问题让老旧电梯更新困难重重。</w:t>
      </w:r>
    </w:p>
    <w:p w14:paraId="2385AB81">
      <w:pPr>
        <w:spacing w:before="186" w:line="317" w:lineRule="auto"/>
        <w:ind w:left="31" w:firstLine="594"/>
        <w:rPr>
          <w:rFonts w:hint="eastAsia" w:ascii="仿宋_GB2312" w:hAnsi="仿宋_GB2312" w:eastAsia="仿宋_GB2312" w:cs="仿宋_GB2312"/>
          <w:sz w:val="31"/>
          <w:szCs w:val="31"/>
          <w:highlight w:val="none"/>
        </w:rPr>
      </w:pPr>
      <w:r>
        <w:rPr>
          <w:rFonts w:hint="eastAsia" w:ascii="仿宋_GB2312" w:hAnsi="仿宋_GB2312" w:eastAsia="仿宋_GB2312" w:cs="仿宋_GB2312"/>
          <w:b/>
          <w:bCs/>
          <w:spacing w:val="-5"/>
          <w:sz w:val="31"/>
          <w:szCs w:val="31"/>
          <w:highlight w:val="none"/>
        </w:rPr>
        <w:t>8.请您谈谈项目开展过程中积累了哪些经验做法，以及下一步</w:t>
      </w:r>
      <w:r>
        <w:rPr>
          <w:rFonts w:hint="eastAsia" w:ascii="仿宋_GB2312" w:hAnsi="仿宋_GB2312" w:eastAsia="仿宋_GB2312" w:cs="仿宋_GB2312"/>
          <w:b/>
          <w:bCs/>
          <w:spacing w:val="-12"/>
          <w:sz w:val="31"/>
          <w:szCs w:val="31"/>
          <w:highlight w:val="none"/>
        </w:rPr>
        <w:t>的工作规划：</w:t>
      </w:r>
    </w:p>
    <w:p w14:paraId="655493C5">
      <w:pPr>
        <w:spacing w:before="54" w:line="318" w:lineRule="auto"/>
        <w:ind w:right="2" w:firstLine="624"/>
        <w:rPr>
          <w:rFonts w:hint="eastAsia" w:ascii="仿宋_GB2312" w:hAnsi="仿宋_GB2312" w:eastAsia="仿宋_GB2312" w:cs="仿宋_GB2312"/>
          <w:spacing w:val="-6"/>
          <w:sz w:val="31"/>
          <w:szCs w:val="31"/>
          <w:highlight w:val="none"/>
          <w:lang w:val="en-US" w:eastAsia="zh-CN"/>
        </w:rPr>
      </w:pPr>
      <w:r>
        <w:rPr>
          <w:rFonts w:hint="eastAsia" w:ascii="仿宋_GB2312" w:hAnsi="仿宋_GB2312" w:eastAsia="仿宋_GB2312" w:cs="仿宋_GB2312"/>
          <w:spacing w:val="-6"/>
          <w:sz w:val="31"/>
          <w:szCs w:val="31"/>
          <w:highlight w:val="none"/>
        </w:rPr>
        <w:t>相比于以往，电梯更新改造所需费用除了通过业主自筹、申请物业维修基金等途径外，如今还新增了国债补贴这个途径。2024年9月，住房和城乡建设部发布国债补贴政策，重点支持登记使用15年以上的住宅老旧电梯更新改造，优先支持登记使用20年以上的住宅老旧电梯实施更新，补助标准为更新电梯每台定额补贴15万元，改造电梯每台定额补贴5万元。在此政策推动下，</w:t>
      </w:r>
      <w:r>
        <w:rPr>
          <w:rFonts w:hint="eastAsia" w:ascii="仿宋_GB2312" w:hAnsi="仿宋_GB2312" w:eastAsia="仿宋_GB2312" w:cs="仿宋_GB2312"/>
          <w:spacing w:val="-6"/>
          <w:sz w:val="31"/>
          <w:szCs w:val="31"/>
          <w:highlight w:val="none"/>
          <w:lang w:val="en-US" w:eastAsia="zh-CN"/>
        </w:rPr>
        <w:t>克拉玛依区</w:t>
      </w:r>
      <w:r>
        <w:rPr>
          <w:rFonts w:hint="eastAsia" w:ascii="仿宋_GB2312" w:hAnsi="仿宋_GB2312" w:eastAsia="仿宋_GB2312" w:cs="仿宋_GB2312"/>
          <w:spacing w:val="-6"/>
          <w:sz w:val="31"/>
          <w:szCs w:val="31"/>
          <w:highlight w:val="none"/>
        </w:rPr>
        <w:t>将投入使用时间长、配置水平低、运行故障率高、安全隐患突出、群众意愿强烈的住宅电梯纳入更新范围。</w:t>
      </w:r>
      <w:r>
        <w:rPr>
          <w:rFonts w:hint="eastAsia" w:ascii="仿宋_GB2312" w:hAnsi="仿宋_GB2312" w:eastAsia="仿宋_GB2312" w:cs="仿宋_GB2312"/>
          <w:spacing w:val="-6"/>
          <w:sz w:val="31"/>
          <w:szCs w:val="31"/>
          <w:highlight w:val="none"/>
          <w:lang w:val="en-US" w:eastAsia="zh-CN"/>
        </w:rPr>
        <w:t>最终由物业公司主动牵头，物业公司联系电梯公司进行检测、报价，并同时公开征集业主们自身的需求和意愿，让业主们选择心仪的电梯品牌和换梯方案。电梯公司进行勘探报价后，根据整体费用，物业牵头制定出楼层、面积、分摊系数的“众筹方案”分摊额外支出部分，通过公示和专项表决后签订合同，启动更换流程。</w:t>
      </w:r>
    </w:p>
    <w:p w14:paraId="343EA9F7">
      <w:pPr>
        <w:spacing w:before="51" w:line="220" w:lineRule="auto"/>
        <w:rPr>
          <w:rFonts w:hint="eastAsia" w:ascii="仿宋_GB2312" w:hAnsi="仿宋_GB2312" w:eastAsia="仿宋_GB2312" w:cs="仿宋_GB2312"/>
          <w:sz w:val="31"/>
          <w:szCs w:val="31"/>
          <w:highlight w:val="none"/>
        </w:rPr>
      </w:pPr>
      <w:r>
        <w:rPr>
          <w:rFonts w:hint="eastAsia" w:ascii="仿宋_GB2312" w:hAnsi="仿宋_GB2312" w:eastAsia="仿宋_GB2312" w:cs="仿宋_GB2312"/>
          <w:b/>
          <w:bCs/>
          <w:spacing w:val="-9"/>
          <w:sz w:val="31"/>
          <w:szCs w:val="31"/>
          <w:highlight w:val="none"/>
        </w:rPr>
        <w:t>9.是否存在设计变更？</w:t>
      </w:r>
    </w:p>
    <w:p w14:paraId="0A80F101">
      <w:pPr>
        <w:spacing w:before="187" w:line="330" w:lineRule="auto"/>
        <w:ind w:left="3" w:right="14" w:firstLine="614"/>
        <w:rPr>
          <w:rFonts w:hint="eastAsia" w:ascii="仿宋_GB2312" w:hAnsi="仿宋_GB2312" w:eastAsia="仿宋_GB2312" w:cs="仿宋_GB2312"/>
          <w:sz w:val="31"/>
          <w:szCs w:val="31"/>
          <w:highlight w:val="none"/>
        </w:rPr>
      </w:pPr>
      <w:r>
        <w:rPr>
          <w:rFonts w:hint="eastAsia" w:ascii="仿宋_GB2312" w:hAnsi="仿宋_GB2312" w:eastAsia="仿宋_GB2312" w:cs="仿宋_GB2312"/>
          <w:spacing w:val="1"/>
          <w:sz w:val="31"/>
          <w:szCs w:val="31"/>
          <w:highlight w:val="none"/>
          <w:lang w:val="en-US" w:eastAsia="zh-CN"/>
        </w:rPr>
        <w:t>不存在，项目本质上是设施设备采购</w:t>
      </w:r>
      <w:r>
        <w:rPr>
          <w:rFonts w:hint="eastAsia" w:ascii="仿宋_GB2312" w:hAnsi="仿宋_GB2312" w:eastAsia="仿宋_GB2312" w:cs="仿宋_GB2312"/>
          <w:spacing w:val="6"/>
          <w:sz w:val="31"/>
          <w:szCs w:val="31"/>
          <w:highlight w:val="none"/>
        </w:rPr>
        <w:t>。</w:t>
      </w:r>
    </w:p>
    <w:p w14:paraId="1B720EBC">
      <w:pPr>
        <w:ind w:left="0" w:leftChars="0" w:firstLine="0" w:firstLineChars="0"/>
        <w:rPr>
          <w:rFonts w:hint="eastAsia" w:ascii="仿宋_GB2312" w:hAnsi="仿宋_GB2312" w:eastAsia="仿宋_GB2312" w:cs="仿宋_GB2312"/>
          <w:highlight w:val="none"/>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3185CA5">
      <w:pPr>
        <w:outlineLvl w:val="0"/>
        <w:rPr>
          <w:rFonts w:hint="eastAsia" w:ascii="仿宋_GB2312" w:hAnsi="仿宋_GB2312" w:eastAsia="仿宋_GB2312" w:cs="仿宋_GB2312"/>
          <w:highlight w:val="none"/>
          <w:lang w:val="en-US" w:eastAsia="zh-CN"/>
        </w:rPr>
      </w:pPr>
      <w:bookmarkStart w:id="229" w:name="_Toc29596"/>
      <w:bookmarkStart w:id="230" w:name="_Toc10772"/>
      <w:bookmarkStart w:id="231" w:name="_Toc30398"/>
      <w:r>
        <w:rPr>
          <w:rFonts w:hint="eastAsia" w:ascii="仿宋_GB2312" w:hAnsi="仿宋_GB2312" w:eastAsia="仿宋_GB2312" w:cs="仿宋_GB2312"/>
          <w:highlight w:val="none"/>
          <w:lang w:val="en-US" w:eastAsia="zh-CN"/>
        </w:rPr>
        <w:t>附件4：</w:t>
      </w:r>
      <w:r>
        <w:rPr>
          <w:rFonts w:hint="eastAsia" w:cs="仿宋_GB2312"/>
          <w:highlight w:val="none"/>
          <w:lang w:val="en-US" w:eastAsia="zh-CN"/>
        </w:rPr>
        <w:t>满意度</w:t>
      </w:r>
      <w:r>
        <w:rPr>
          <w:rFonts w:hint="eastAsia" w:ascii="仿宋_GB2312" w:hAnsi="仿宋_GB2312" w:eastAsia="仿宋_GB2312" w:cs="仿宋_GB2312"/>
          <w:highlight w:val="none"/>
          <w:lang w:val="en-US" w:eastAsia="zh-CN"/>
        </w:rPr>
        <w:t>调查问卷</w:t>
      </w:r>
      <w:bookmarkEnd w:id="229"/>
      <w:bookmarkEnd w:id="230"/>
      <w:bookmarkEnd w:id="231"/>
    </w:p>
    <w:p w14:paraId="3CF6097C">
      <w:pPr>
        <w:ind w:left="0" w:leftChars="0" w:firstLine="0" w:firstLineChars="0"/>
        <w:rPr>
          <w:rFonts w:hint="eastAsia" w:ascii="仿宋_GB2312" w:hAnsi="仿宋_GB2312" w:eastAsia="仿宋_GB2312" w:cs="仿宋_GB2312"/>
          <w:highlight w:val="none"/>
          <w:lang w:val="en-US" w:eastAsia="zh-CN"/>
        </w:rPr>
      </w:pPr>
    </w:p>
    <w:p w14:paraId="3AFD6250">
      <w:pPr>
        <w:pStyle w:val="2"/>
        <w:ind w:left="0" w:leftChars="0" w:firstLine="0" w:firstLineChars="0"/>
        <w:jc w:val="center"/>
        <w:rPr>
          <w:rFonts w:hint="eastAsia"/>
          <w:highlight w:val="none"/>
          <w:lang w:val="en-US" w:eastAsia="zh-CN"/>
        </w:rPr>
      </w:pPr>
      <w:r>
        <w:rPr>
          <w:rFonts w:hint="eastAsia" w:ascii="黑体" w:hAnsi="黑体" w:eastAsia="黑体" w:cs="黑体"/>
          <w:highlight w:val="none"/>
          <w:lang w:val="en-US" w:eastAsia="zh-CN"/>
        </w:rPr>
        <w:t>老旧电梯更新改造项目居民满意度调查</w:t>
      </w:r>
    </w:p>
    <w:p w14:paraId="5A7085D5">
      <w:pPr>
        <w:pStyle w:val="2"/>
        <w:ind w:left="640" w:leftChars="200" w:firstLine="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尊敬的居民朋友：</w:t>
      </w:r>
    </w:p>
    <w:p w14:paraId="0D5ECC87">
      <w:pPr>
        <w:pStyle w:val="2"/>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您好！感谢您参与本次问卷调查。为了解新电梯的使用情况、收集您的宝贵意见，以便我们持续改进服务，特开展此次满意度调查。问卷匿名填写，大约占用您5分钟时间。您的反馈对我们至关重要，感谢您的支持与配合！</w:t>
      </w:r>
    </w:p>
    <w:p w14:paraId="40F71A0E">
      <w:pPr>
        <w:pStyle w:val="2"/>
        <w:rPr>
          <w:rFonts w:hint="eastAsia"/>
          <w:highlight w:val="none"/>
          <w:lang w:val="en-US" w:eastAsia="zh-CN"/>
        </w:rPr>
      </w:pPr>
    </w:p>
    <w:p w14:paraId="7668AACC">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1.您所在的楼栋号：______单元号：______</w:t>
      </w:r>
    </w:p>
    <w:p w14:paraId="7058DA95">
      <w:pPr>
        <w:pStyle w:val="2"/>
        <w:ind w:left="640" w:leftChars="200" w:firstLine="0" w:firstLineChars="0"/>
        <w:jc w:val="left"/>
        <w:rPr>
          <w:rFonts w:hint="eastAsia" w:ascii="仿宋_GB2312" w:hAnsi="仿宋_GB2312" w:eastAsia="仿宋_GB2312" w:cs="仿宋_GB2312"/>
          <w:highlight w:val="none"/>
          <w:lang w:val="en-US" w:eastAsia="zh-CN"/>
        </w:rPr>
      </w:pPr>
    </w:p>
    <w:p w14:paraId="150532F5">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 您使用新电梯的频率是：</w:t>
      </w:r>
    </w:p>
    <w:p w14:paraId="3CE1AFF6">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每天多次</w:t>
      </w:r>
    </w:p>
    <w:p w14:paraId="2C684E1B">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每天1-2次</w:t>
      </w:r>
    </w:p>
    <w:p w14:paraId="189425AC">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每周几次</w:t>
      </w:r>
    </w:p>
    <w:p w14:paraId="4BBD9FB4">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偶尔使用</w:t>
      </w:r>
    </w:p>
    <w:p w14:paraId="4FF9F88E">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基本不使用 (请说明原因：____________)</w:t>
      </w:r>
    </w:p>
    <w:p w14:paraId="405BA3B6">
      <w:pPr>
        <w:pStyle w:val="2"/>
        <w:ind w:left="640" w:leftChars="200" w:firstLine="0" w:firstLineChars="0"/>
        <w:jc w:val="left"/>
        <w:rPr>
          <w:rFonts w:hint="eastAsia" w:ascii="仿宋_GB2312" w:hAnsi="仿宋_GB2312" w:eastAsia="仿宋_GB2312" w:cs="仿宋_GB2312"/>
          <w:highlight w:val="none"/>
          <w:lang w:val="en-US" w:eastAsia="zh-CN"/>
        </w:rPr>
      </w:pPr>
    </w:p>
    <w:p w14:paraId="051E295A">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3. 您的年龄段：</w:t>
      </w:r>
    </w:p>
    <w:p w14:paraId="520434D8">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18岁以下</w:t>
      </w:r>
    </w:p>
    <w:p w14:paraId="6BE96FBF">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18-35岁</w:t>
      </w:r>
    </w:p>
    <w:p w14:paraId="0FD1BD0A">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36-55岁</w:t>
      </w:r>
    </w:p>
    <w:p w14:paraId="690F18A8">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56-70岁</w:t>
      </w:r>
    </w:p>
    <w:p w14:paraId="393943C5">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71岁及以上</w:t>
      </w:r>
    </w:p>
    <w:p w14:paraId="48FADD6A">
      <w:pPr>
        <w:pStyle w:val="2"/>
        <w:ind w:left="640" w:leftChars="200" w:firstLine="0" w:firstLineChars="0"/>
        <w:jc w:val="left"/>
        <w:rPr>
          <w:rFonts w:hint="eastAsia" w:ascii="仿宋_GB2312" w:hAnsi="仿宋_GB2312" w:eastAsia="仿宋_GB2312" w:cs="仿宋_GB2312"/>
          <w:highlight w:val="none"/>
          <w:lang w:val="en-US" w:eastAsia="zh-CN"/>
        </w:rPr>
      </w:pPr>
    </w:p>
    <w:p w14:paraId="1D0B8093">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4. 您对新电梯的整体运行稳定性 (如是否频繁故障、卡顿) 满意吗？</w:t>
      </w:r>
    </w:p>
    <w:p w14:paraId="7276DCCA">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非常满意</w:t>
      </w:r>
    </w:p>
    <w:p w14:paraId="1E49CC94">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比较满意</w:t>
      </w:r>
    </w:p>
    <w:p w14:paraId="79451833">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一般</w:t>
      </w:r>
    </w:p>
    <w:p w14:paraId="448376D0">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不太满意</w:t>
      </w:r>
    </w:p>
    <w:p w14:paraId="52B91BCA">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非常不满意</w:t>
      </w:r>
    </w:p>
    <w:p w14:paraId="7105BBC3">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不清楚</w:t>
      </w:r>
    </w:p>
    <w:p w14:paraId="3A4ADD16">
      <w:pPr>
        <w:pStyle w:val="2"/>
        <w:ind w:left="640" w:leftChars="200" w:firstLine="0" w:firstLineChars="0"/>
        <w:jc w:val="left"/>
        <w:rPr>
          <w:rFonts w:hint="eastAsia" w:ascii="仿宋_GB2312" w:hAnsi="仿宋_GB2312" w:eastAsia="仿宋_GB2312" w:cs="仿宋_GB2312"/>
          <w:highlight w:val="none"/>
          <w:lang w:val="en-US" w:eastAsia="zh-CN"/>
        </w:rPr>
      </w:pPr>
    </w:p>
    <w:p w14:paraId="37923C59">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5. 您对新电梯的运行速度满意吗？</w:t>
      </w:r>
    </w:p>
    <w:p w14:paraId="2755ECCB">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非常满意 (速度很快)</w:t>
      </w:r>
    </w:p>
    <w:p w14:paraId="5B102C06">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比较满意</w:t>
      </w:r>
    </w:p>
    <w:p w14:paraId="16EAFDBF">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一般 (速度适中)</w:t>
      </w:r>
    </w:p>
    <w:p w14:paraId="51D95CE5">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不太满意 (速度偏慢)</w:t>
      </w:r>
    </w:p>
    <w:p w14:paraId="14D8437F">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非常不满意 (速度太慢)</w:t>
      </w:r>
    </w:p>
    <w:p w14:paraId="4AE53B98">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不清楚</w:t>
      </w:r>
    </w:p>
    <w:p w14:paraId="187DD48C">
      <w:pPr>
        <w:pStyle w:val="2"/>
        <w:ind w:left="640" w:leftChars="200" w:firstLine="0" w:firstLineChars="0"/>
        <w:jc w:val="left"/>
        <w:rPr>
          <w:rFonts w:hint="eastAsia" w:ascii="仿宋_GB2312" w:hAnsi="仿宋_GB2312" w:eastAsia="仿宋_GB2312" w:cs="仿宋_GB2312"/>
          <w:highlight w:val="none"/>
          <w:lang w:val="en-US" w:eastAsia="zh-CN"/>
        </w:rPr>
      </w:pPr>
    </w:p>
    <w:p w14:paraId="30DB9E2A">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6. 您对新电梯的开关门速度与顺畅度满意吗？(是否存在夹人风险、关门过慢/过快)</w:t>
      </w:r>
    </w:p>
    <w:p w14:paraId="172EDAF0">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非常满意 (顺畅安全)</w:t>
      </w:r>
    </w:p>
    <w:p w14:paraId="4CD2942E">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比较满意</w:t>
      </w:r>
    </w:p>
    <w:p w14:paraId="26AD201E">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一般</w:t>
      </w:r>
    </w:p>
    <w:p w14:paraId="4E8A2684">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不太满意 (偶尔不畅)</w:t>
      </w:r>
    </w:p>
    <w:p w14:paraId="1D0314B4">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非常不满意 (经常不畅/有风险)</w:t>
      </w:r>
    </w:p>
    <w:p w14:paraId="62C0BF93">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不清楚</w:t>
      </w:r>
    </w:p>
    <w:p w14:paraId="0B7107C1">
      <w:pPr>
        <w:pStyle w:val="2"/>
        <w:ind w:left="640" w:leftChars="200" w:firstLine="0" w:firstLineChars="0"/>
        <w:jc w:val="left"/>
        <w:rPr>
          <w:rFonts w:hint="eastAsia" w:ascii="仿宋_GB2312" w:hAnsi="仿宋_GB2312" w:eastAsia="仿宋_GB2312" w:cs="仿宋_GB2312"/>
          <w:highlight w:val="none"/>
          <w:lang w:val="en-US" w:eastAsia="zh-CN"/>
        </w:rPr>
      </w:pPr>
    </w:p>
    <w:p w14:paraId="3D898B8F">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7. 您对新电梯的噪音水平满意吗？(运行时、开关门时)</w:t>
      </w:r>
    </w:p>
    <w:p w14:paraId="0A68F8C8">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非常满意 (非常安静)</w:t>
      </w:r>
    </w:p>
    <w:p w14:paraId="0F7C6319">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比较满意</w:t>
      </w:r>
    </w:p>
    <w:p w14:paraId="31D8BFAE">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一般 (可接受)</w:t>
      </w:r>
    </w:p>
    <w:p w14:paraId="2BBCE0C7">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不太满意 (有些吵)</w:t>
      </w:r>
    </w:p>
    <w:p w14:paraId="1F323864">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非常不满意 (非常吵)</w:t>
      </w:r>
    </w:p>
    <w:p w14:paraId="21C04BCE">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不清楚</w:t>
      </w:r>
    </w:p>
    <w:p w14:paraId="0E993358">
      <w:pPr>
        <w:pStyle w:val="2"/>
        <w:ind w:left="640" w:leftChars="200" w:firstLine="0" w:firstLineChars="0"/>
        <w:jc w:val="left"/>
        <w:rPr>
          <w:rFonts w:hint="eastAsia" w:ascii="仿宋_GB2312" w:hAnsi="仿宋_GB2312" w:eastAsia="仿宋_GB2312" w:cs="仿宋_GB2312"/>
          <w:highlight w:val="none"/>
          <w:lang w:val="en-US" w:eastAsia="zh-CN"/>
        </w:rPr>
      </w:pPr>
    </w:p>
    <w:p w14:paraId="3BBBC03D">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8. 您对新电梯的轿厢内部环境满意吗？(照明、通风、清洁度、空间感)</w:t>
      </w:r>
    </w:p>
    <w:p w14:paraId="2177D548">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非常满意</w:t>
      </w:r>
    </w:p>
    <w:p w14:paraId="5A3AD137">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比较满意</w:t>
      </w:r>
    </w:p>
    <w:p w14:paraId="5F60B2A6">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一般</w:t>
      </w:r>
    </w:p>
    <w:p w14:paraId="7A9D8A09">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不太满意</w:t>
      </w:r>
    </w:p>
    <w:p w14:paraId="65575958">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非常不满意</w:t>
      </w:r>
    </w:p>
    <w:p w14:paraId="5B4D4FEF">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不清楚</w:t>
      </w:r>
    </w:p>
    <w:p w14:paraId="1D4BE9BE">
      <w:pPr>
        <w:pStyle w:val="2"/>
        <w:ind w:left="640" w:leftChars="200" w:firstLine="0" w:firstLineChars="0"/>
        <w:jc w:val="left"/>
        <w:rPr>
          <w:rFonts w:hint="eastAsia" w:ascii="仿宋_GB2312" w:hAnsi="仿宋_GB2312" w:eastAsia="仿宋_GB2312" w:cs="仿宋_GB2312"/>
          <w:highlight w:val="none"/>
          <w:lang w:val="en-US" w:eastAsia="zh-CN"/>
        </w:rPr>
      </w:pPr>
    </w:p>
    <w:p w14:paraId="0E0D6A4D">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9. 您对新电梯的按钮和指示系统满意吗？(按钮灵敏度、楼层显示清晰度、语音报站)</w:t>
      </w:r>
    </w:p>
    <w:p w14:paraId="5866F1F0">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非常满意 (清晰易用)</w:t>
      </w:r>
    </w:p>
    <w:p w14:paraId="10A9FF1A">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比较满意</w:t>
      </w:r>
    </w:p>
    <w:p w14:paraId="00B41483">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一般</w:t>
      </w:r>
    </w:p>
    <w:p w14:paraId="12FC681A">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不太满意 (不灵敏/看不清)</w:t>
      </w:r>
    </w:p>
    <w:p w14:paraId="3FA2C440">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非常不满意 (很难用)</w:t>
      </w:r>
    </w:p>
    <w:p w14:paraId="685BF219">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不清楚</w:t>
      </w:r>
    </w:p>
    <w:p w14:paraId="6F9B7D54">
      <w:pPr>
        <w:pStyle w:val="2"/>
        <w:ind w:left="640" w:leftChars="200" w:firstLine="0" w:firstLineChars="0"/>
        <w:jc w:val="left"/>
        <w:rPr>
          <w:rFonts w:hint="eastAsia" w:ascii="仿宋_GB2312" w:hAnsi="仿宋_GB2312" w:eastAsia="仿宋_GB2312" w:cs="仿宋_GB2312"/>
          <w:highlight w:val="none"/>
          <w:lang w:val="en-US" w:eastAsia="zh-CN"/>
        </w:rPr>
      </w:pPr>
    </w:p>
    <w:p w14:paraId="6BEFC349">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10. 您对新电梯的安全性感觉如何？(对紧急呼叫按钮、运行平稳度、是否有异常等的信心)</w:t>
      </w:r>
    </w:p>
    <w:p w14:paraId="7B1A278A">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非常有安全感</w:t>
      </w:r>
    </w:p>
    <w:p w14:paraId="7EA9B645">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比较有安全感</w:t>
      </w:r>
    </w:p>
    <w:p w14:paraId="208D2B8B">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感觉一般</w:t>
      </w:r>
    </w:p>
    <w:p w14:paraId="38718E49">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安全感较低</w:t>
      </w:r>
    </w:p>
    <w:p w14:paraId="5477AAAE">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感觉很不安</w:t>
      </w:r>
    </w:p>
    <w:p w14:paraId="15E5ABEA">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不清楚</w:t>
      </w:r>
    </w:p>
    <w:p w14:paraId="3CB5100D">
      <w:pPr>
        <w:pStyle w:val="2"/>
        <w:ind w:left="640" w:leftChars="200" w:firstLine="0" w:firstLineChars="0"/>
        <w:jc w:val="left"/>
        <w:rPr>
          <w:rFonts w:hint="eastAsia" w:ascii="仿宋_GB2312" w:hAnsi="仿宋_GB2312" w:eastAsia="仿宋_GB2312" w:cs="仿宋_GB2312"/>
          <w:highlight w:val="none"/>
          <w:lang w:val="en-US" w:eastAsia="zh-CN"/>
        </w:rPr>
      </w:pPr>
    </w:p>
    <w:p w14:paraId="7D02C5A9">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11. 如果遇到过故障，您对故障后的报修响应速度和维修效率满意吗？</w:t>
      </w:r>
    </w:p>
    <w:p w14:paraId="45BB2E48">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非常满意 (响应快，修得快)</w:t>
      </w:r>
    </w:p>
    <w:p w14:paraId="2DABA5E6">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比较满意</w:t>
      </w:r>
    </w:p>
    <w:p w14:paraId="29B61C8A">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一般</w:t>
      </w:r>
    </w:p>
    <w:p w14:paraId="04613BBE">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不太满意 (响应慢/维修慢)</w:t>
      </w:r>
    </w:p>
    <w:p w14:paraId="54B6A2CE">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非常不满意 (无人管/修不好)</w:t>
      </w:r>
    </w:p>
    <w:p w14:paraId="5DF98B68">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未遇到过故障 (跳至16题)</w:t>
      </w:r>
    </w:p>
    <w:p w14:paraId="2BD1976E">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不清楚</w:t>
      </w:r>
    </w:p>
    <w:p w14:paraId="4890AC55">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12. 您对本次老旧电梯更换项目的必要性如何评价？</w:t>
      </w:r>
    </w:p>
    <w:p w14:paraId="3717DB9C">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非常必要，旧电梯问题严重</w:t>
      </w:r>
    </w:p>
    <w:p w14:paraId="178AFDDE">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比较必要</w:t>
      </w:r>
    </w:p>
    <w:p w14:paraId="6827EA66">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可有可无</w:t>
      </w:r>
    </w:p>
    <w:p w14:paraId="2EEE7468">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不太必要</w:t>
      </w:r>
    </w:p>
    <w:p w14:paraId="68FF8259">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完全没必要</w:t>
      </w:r>
    </w:p>
    <w:p w14:paraId="6D290ED7">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不清楚</w:t>
      </w:r>
    </w:p>
    <w:p w14:paraId="1E38F6BC">
      <w:pPr>
        <w:pStyle w:val="2"/>
        <w:ind w:left="640" w:leftChars="200" w:firstLine="0" w:firstLineChars="0"/>
        <w:jc w:val="left"/>
        <w:rPr>
          <w:rFonts w:hint="eastAsia" w:ascii="仿宋_GB2312" w:hAnsi="仿宋_GB2312" w:eastAsia="仿宋_GB2312" w:cs="仿宋_GB2312"/>
          <w:highlight w:val="none"/>
          <w:lang w:val="en-US" w:eastAsia="zh-CN"/>
        </w:rPr>
      </w:pPr>
    </w:p>
    <w:p w14:paraId="67AD172A">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13. 您对更换电梯施工期间的管理和沟通满意吗？(如通知是否及时、施工安排是否合理、对居民影响是否尽量减小)</w:t>
      </w:r>
    </w:p>
    <w:p w14:paraId="4F811198">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非常满意</w:t>
      </w:r>
    </w:p>
    <w:p w14:paraId="0AED3E7C">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比较满意</w:t>
      </w:r>
    </w:p>
    <w:p w14:paraId="09235584">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一般</w:t>
      </w:r>
    </w:p>
    <w:p w14:paraId="41C1EFC5">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不太满意</w:t>
      </w:r>
    </w:p>
    <w:p w14:paraId="605D1F99">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非常不满意</w:t>
      </w:r>
    </w:p>
    <w:p w14:paraId="5891A000">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未关注/不清楚</w:t>
      </w:r>
    </w:p>
    <w:p w14:paraId="4A31F3DA">
      <w:pPr>
        <w:pStyle w:val="2"/>
        <w:ind w:left="640" w:leftChars="200" w:firstLine="0" w:firstLineChars="0"/>
        <w:jc w:val="left"/>
        <w:rPr>
          <w:rFonts w:hint="eastAsia" w:ascii="仿宋_GB2312" w:hAnsi="仿宋_GB2312" w:eastAsia="仿宋_GB2312" w:cs="仿宋_GB2312"/>
          <w:highlight w:val="none"/>
          <w:lang w:val="en-US" w:eastAsia="zh-CN"/>
        </w:rPr>
      </w:pPr>
    </w:p>
    <w:p w14:paraId="636D927B">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14. 总体而言，您对本次老旧电梯更换项目的满意度打几分？(1分最低，5分最高)</w:t>
      </w:r>
    </w:p>
    <w:p w14:paraId="223F2985">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1分 (非常不满意)</w:t>
      </w:r>
    </w:p>
    <w:p w14:paraId="1DE82EC5">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2分</w:t>
      </w:r>
    </w:p>
    <w:p w14:paraId="4008757B">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3分 (一般)</w:t>
      </w:r>
    </w:p>
    <w:p w14:paraId="79AD2E03">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4分</w:t>
      </w:r>
    </w:p>
    <w:p w14:paraId="5E75FE45">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5分 (非常满意)</w:t>
      </w:r>
    </w:p>
    <w:p w14:paraId="77B65AB0">
      <w:pPr>
        <w:pStyle w:val="2"/>
        <w:ind w:left="640" w:leftChars="200" w:firstLine="0" w:firstLineChars="0"/>
        <w:jc w:val="left"/>
        <w:rPr>
          <w:rFonts w:hint="eastAsia" w:ascii="仿宋_GB2312" w:hAnsi="仿宋_GB2312" w:eastAsia="仿宋_GB2312" w:cs="仿宋_GB2312"/>
          <w:highlight w:val="none"/>
          <w:lang w:val="en-US" w:eastAsia="zh-CN"/>
        </w:rPr>
      </w:pPr>
    </w:p>
    <w:p w14:paraId="7EDC3D3F">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15. 新电梯的投入使用，对您日常生活的便利性和安全感提升程度如何？</w:t>
      </w:r>
    </w:p>
    <w:p w14:paraId="6877A727">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提升非常大</w:t>
      </w:r>
    </w:p>
    <w:p w14:paraId="7779D9A1">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有所提升</w:t>
      </w:r>
    </w:p>
    <w:p w14:paraId="3B171D39">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提升不明显</w:t>
      </w:r>
    </w:p>
    <w:p w14:paraId="49A5DE88">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没有提升</w:t>
      </w:r>
    </w:p>
    <w:p w14:paraId="39D2FE71">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反而下降了</w:t>
      </w:r>
    </w:p>
    <w:p w14:paraId="78C71089">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 ) 不清楚</w:t>
      </w:r>
    </w:p>
    <w:p w14:paraId="1C76FA4E">
      <w:pPr>
        <w:pStyle w:val="2"/>
        <w:ind w:left="640" w:leftChars="200" w:firstLine="0" w:firstLineChars="0"/>
        <w:jc w:val="left"/>
        <w:rPr>
          <w:rFonts w:hint="eastAsia" w:ascii="仿宋_GB2312" w:hAnsi="仿宋_GB2312" w:eastAsia="仿宋_GB2312" w:cs="仿宋_GB2312"/>
          <w:highlight w:val="none"/>
          <w:lang w:val="en-US" w:eastAsia="zh-CN"/>
        </w:rPr>
      </w:pPr>
    </w:p>
    <w:p w14:paraId="1B767CBA">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16. 您对电梯的日常管理、维护保养或未来可能的升级有什么具体的意见或建议？(开放题)</w:t>
      </w:r>
    </w:p>
    <w:p w14:paraId="6E1DED70">
      <w:pPr>
        <w:pStyle w:val="2"/>
        <w:ind w:left="640" w:leftChars="200" w:firstLine="0" w:firstLineChars="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___________________________________________________________________________________________</w:t>
      </w:r>
    </w:p>
    <w:p w14:paraId="0FCB67A2">
      <w:pPr>
        <w:pStyle w:val="2"/>
        <w:rPr>
          <w:rFonts w:hint="eastAsia"/>
          <w:highlight w:val="none"/>
          <w:lang w:val="en-US" w:eastAsia="zh-CN"/>
        </w:rPr>
      </w:pPr>
    </w:p>
    <w:p w14:paraId="44FC3BA0">
      <w:pPr>
        <w:pStyle w:val="2"/>
        <w:ind w:left="0" w:leftChars="0" w:firstLine="640" w:firstLineChars="200"/>
        <w:rPr>
          <w:rFonts w:hint="eastAsia"/>
          <w:highlight w:val="none"/>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仿宋_GB2312" w:hAnsi="仿宋_GB2312" w:eastAsia="仿宋_GB2312" w:cs="仿宋_GB2312"/>
          <w:highlight w:val="none"/>
          <w:lang w:val="en-US" w:eastAsia="zh-CN"/>
        </w:rPr>
        <w:t>再次衷心感谢您抽出宝贵时间填写这份问卷！您的真实感受和建议对我们改进工作、提升小区居住品质非常重要。祝您生活愉快！</w:t>
      </w:r>
    </w:p>
    <w:p w14:paraId="57EA9281">
      <w:pPr>
        <w:outlineLvl w:val="0"/>
        <w:rPr>
          <w:rFonts w:hint="eastAsia" w:ascii="仿宋_GB2312" w:hAnsi="仿宋_GB2312" w:eastAsia="仿宋_GB2312" w:cs="仿宋_GB2312"/>
          <w:highlight w:val="none"/>
          <w:lang w:val="en-US" w:eastAsia="zh-CN"/>
        </w:rPr>
      </w:pPr>
      <w:bookmarkStart w:id="232" w:name="_Toc4128"/>
      <w:bookmarkStart w:id="233" w:name="_Toc22489"/>
      <w:bookmarkStart w:id="234" w:name="_Toc8931"/>
      <w:r>
        <w:rPr>
          <w:rFonts w:hint="eastAsia" w:ascii="仿宋_GB2312" w:hAnsi="仿宋_GB2312" w:eastAsia="仿宋_GB2312" w:cs="仿宋_GB2312"/>
          <w:highlight w:val="none"/>
          <w:lang w:val="en-US" w:eastAsia="zh-CN"/>
        </w:rPr>
        <w:t>附件5：现场调研照片</w:t>
      </w:r>
      <w:bookmarkEnd w:id="232"/>
      <w:bookmarkEnd w:id="233"/>
      <w:bookmarkEnd w:id="234"/>
    </w:p>
    <w:p w14:paraId="6B4FE2EE">
      <w:pPr>
        <w:outlineLvl w:val="0"/>
        <w:rPr>
          <w:rFonts w:hint="eastAsia" w:ascii="仿宋_GB2312" w:hAnsi="仿宋_GB2312" w:eastAsia="仿宋_GB2312" w:cs="仿宋_GB2312"/>
          <w:highlight w:val="none"/>
          <w:lang w:val="en-US" w:eastAsia="zh-CN"/>
        </w:rPr>
      </w:pPr>
    </w:p>
    <w:p w14:paraId="22D01720">
      <w:pPr>
        <w:spacing w:line="240" w:lineRule="auto"/>
        <w:ind w:left="0" w:leftChars="0" w:firstLine="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drawing>
          <wp:inline distT="0" distB="0" distL="114300" distR="114300">
            <wp:extent cx="5266690" cy="2962910"/>
            <wp:effectExtent l="0" t="0" r="10160" b="8890"/>
            <wp:docPr id="2" name="图片 2" descr="f9dca0c1ae1c6993373b363c1a99e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9dca0c1ae1c6993373b363c1a99e53"/>
                    <pic:cNvPicPr>
                      <a:picLocks noChangeAspect="1"/>
                    </pic:cNvPicPr>
                  </pic:nvPicPr>
                  <pic:blipFill>
                    <a:blip r:embed="rId8"/>
                    <a:stretch>
                      <a:fillRect/>
                    </a:stretch>
                  </pic:blipFill>
                  <pic:spPr>
                    <a:xfrm>
                      <a:off x="0" y="0"/>
                      <a:ext cx="5266690" cy="2962910"/>
                    </a:xfrm>
                    <a:prstGeom prst="rect">
                      <a:avLst/>
                    </a:prstGeom>
                  </pic:spPr>
                </pic:pic>
              </a:graphicData>
            </a:graphic>
          </wp:inline>
        </w:drawing>
      </w:r>
    </w:p>
    <w:p w14:paraId="145CD1AB">
      <w:pPr>
        <w:pStyle w:val="2"/>
        <w:ind w:left="0" w:leftChars="0" w:firstLine="0" w:firstLineChars="0"/>
        <w:rPr>
          <w:rFonts w:hint="eastAsia" w:ascii="仿宋_GB2312" w:hAnsi="仿宋_GB2312" w:eastAsia="仿宋_GB2312" w:cs="仿宋_GB2312"/>
          <w:highlight w:val="none"/>
          <w:lang w:val="en-US" w:eastAsia="zh-CN"/>
        </w:rPr>
      </w:pPr>
    </w:p>
    <w:p w14:paraId="044C3FF4">
      <w:pPr>
        <w:ind w:left="0" w:leftChars="0" w:firstLine="0" w:firstLineChars="0"/>
        <w:rPr>
          <w:rFonts w:hint="default"/>
          <w:highlight w:val="none"/>
          <w:lang w:val="en-US" w:eastAsia="zh-CN"/>
        </w:rPr>
      </w:pPr>
    </w:p>
    <w:p w14:paraId="3D1447F7">
      <w:pPr>
        <w:spacing w:line="240" w:lineRule="auto"/>
        <w:ind w:left="0" w:leftChars="0" w:firstLine="0" w:firstLineChars="0"/>
        <w:rPr>
          <w:rFonts w:hint="eastAsia"/>
          <w:highlight w:val="none"/>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highlight w:val="none"/>
          <w:lang w:val="en-US" w:eastAsia="zh-CN"/>
        </w:rPr>
        <w:drawing>
          <wp:inline distT="0" distB="0" distL="114300" distR="114300">
            <wp:extent cx="5264785" cy="3947160"/>
            <wp:effectExtent l="0" t="0" r="12065" b="15240"/>
            <wp:docPr id="3" name="图片 3" descr="ce9fec8155e2d5ee9fb04a5ff14c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e9fec8155e2d5ee9fb04a5ff14c438"/>
                    <pic:cNvPicPr>
                      <a:picLocks noChangeAspect="1"/>
                    </pic:cNvPicPr>
                  </pic:nvPicPr>
                  <pic:blipFill>
                    <a:blip r:embed="rId9"/>
                    <a:stretch>
                      <a:fillRect/>
                    </a:stretch>
                  </pic:blipFill>
                  <pic:spPr>
                    <a:xfrm>
                      <a:off x="0" y="0"/>
                      <a:ext cx="5264785" cy="3947160"/>
                    </a:xfrm>
                    <a:prstGeom prst="rect">
                      <a:avLst/>
                    </a:prstGeom>
                  </pic:spPr>
                </pic:pic>
              </a:graphicData>
            </a:graphic>
          </wp:inline>
        </w:drawing>
      </w:r>
    </w:p>
    <w:p w14:paraId="1D8C2F68">
      <w:pPr>
        <w:ind w:left="0" w:leftChars="0" w:firstLine="0" w:firstLineChars="0"/>
        <w:outlineLvl w:val="0"/>
        <w:rPr>
          <w:rFonts w:hint="eastAsia" w:ascii="仿宋_GB2312" w:hAnsi="仿宋_GB2312" w:eastAsia="仿宋_GB2312" w:cs="仿宋_GB2312"/>
          <w:b/>
          <w:bCs/>
          <w:highlight w:val="none"/>
          <w:lang w:val="en-US" w:eastAsia="zh-CN"/>
        </w:rPr>
      </w:pPr>
      <w:bookmarkStart w:id="235" w:name="_Toc21059"/>
      <w:bookmarkStart w:id="236" w:name="_Toc19079"/>
      <w:bookmarkStart w:id="237" w:name="_Toc31141"/>
      <w:r>
        <w:rPr>
          <w:rFonts w:hint="eastAsia" w:ascii="仿宋_GB2312" w:hAnsi="仿宋_GB2312" w:eastAsia="仿宋_GB2312" w:cs="仿宋_GB2312"/>
          <w:b/>
          <w:bCs/>
          <w:highlight w:val="none"/>
          <w:lang w:val="en-US" w:eastAsia="zh-CN"/>
        </w:rPr>
        <w:t>附件6：项目单位自评表及自评报告</w:t>
      </w:r>
      <w:bookmarkEnd w:id="235"/>
      <w:bookmarkEnd w:id="236"/>
      <w:bookmarkEnd w:id="237"/>
    </w:p>
    <w:tbl>
      <w:tblPr>
        <w:tblStyle w:val="14"/>
        <w:tblW w:w="14825" w:type="dxa"/>
        <w:tblInd w:w="10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0"/>
        <w:gridCol w:w="682"/>
        <w:gridCol w:w="587"/>
        <w:gridCol w:w="630"/>
        <w:gridCol w:w="875"/>
        <w:gridCol w:w="1096"/>
        <w:gridCol w:w="1096"/>
        <w:gridCol w:w="896"/>
        <w:gridCol w:w="1047"/>
        <w:gridCol w:w="745"/>
        <w:gridCol w:w="1496"/>
        <w:gridCol w:w="1496"/>
        <w:gridCol w:w="1147"/>
        <w:gridCol w:w="1026"/>
        <w:gridCol w:w="896"/>
      </w:tblGrid>
      <w:tr w14:paraId="37AC0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4825" w:type="dxa"/>
            <w:gridSpan w:val="15"/>
            <w:tcBorders>
              <w:top w:val="nil"/>
              <w:left w:val="nil"/>
              <w:bottom w:val="nil"/>
              <w:right w:val="nil"/>
            </w:tcBorders>
            <w:shd w:val="clear" w:color="auto" w:fill="auto"/>
            <w:noWrap/>
            <w:vAlign w:val="bottom"/>
          </w:tcPr>
          <w:p w14:paraId="4D12FB51">
            <w:pPr>
              <w:keepNext w:val="0"/>
              <w:keepLines w:val="0"/>
              <w:widowControl/>
              <w:suppressLineNumbers w:val="0"/>
              <w:jc w:val="center"/>
              <w:textAlignment w:val="bottom"/>
              <w:rPr>
                <w:rFonts w:hint="eastAsia" w:ascii="仿宋_GB2312" w:hAnsi="仿宋_GB2312" w:eastAsia="仿宋_GB2312" w:cs="仿宋_GB2312"/>
                <w:b/>
                <w:bCs/>
                <w:i w:val="0"/>
                <w:iCs w:val="0"/>
                <w:color w:val="000000"/>
                <w:sz w:val="32"/>
                <w:szCs w:val="32"/>
                <w:highlight w:val="none"/>
                <w:u w:val="none"/>
              </w:rPr>
            </w:pPr>
            <w:r>
              <w:rPr>
                <w:rFonts w:hint="eastAsia" w:ascii="仿宋_GB2312" w:hAnsi="仿宋_GB2312" w:eastAsia="仿宋_GB2312" w:cs="仿宋_GB2312"/>
                <w:b/>
                <w:bCs/>
                <w:i w:val="0"/>
                <w:iCs w:val="0"/>
                <w:color w:val="000000"/>
                <w:kern w:val="0"/>
                <w:sz w:val="32"/>
                <w:szCs w:val="32"/>
                <w:highlight w:val="none"/>
                <w:u w:val="none"/>
                <w:lang w:val="en-US" w:eastAsia="zh-CN" w:bidi="ar"/>
              </w:rPr>
              <w:t>项目支出绩效自评表</w:t>
            </w:r>
          </w:p>
        </w:tc>
      </w:tr>
      <w:tr w14:paraId="548D3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25" w:type="dxa"/>
            <w:gridSpan w:val="15"/>
            <w:tcBorders>
              <w:top w:val="nil"/>
              <w:left w:val="nil"/>
              <w:bottom w:val="single" w:color="auto" w:sz="4" w:space="0"/>
              <w:right w:val="nil"/>
            </w:tcBorders>
            <w:shd w:val="clear" w:color="auto" w:fill="auto"/>
            <w:noWrap/>
            <w:vAlign w:val="center"/>
          </w:tcPr>
          <w:p w14:paraId="675CC54D">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(2024年度)</w:t>
            </w:r>
          </w:p>
        </w:tc>
      </w:tr>
      <w:tr w14:paraId="57416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1792" w:type="dxa"/>
            <w:gridSpan w:val="2"/>
            <w:tcBorders>
              <w:top w:val="single" w:color="auto" w:sz="4" w:space="0"/>
              <w:left w:val="single" w:color="auto" w:sz="4" w:space="0"/>
              <w:bottom w:val="single" w:color="000000" w:sz="4" w:space="0"/>
              <w:right w:val="single" w:color="000000" w:sz="4" w:space="0"/>
            </w:tcBorders>
            <w:shd w:val="clear" w:color="auto" w:fill="auto"/>
            <w:vAlign w:val="center"/>
          </w:tcPr>
          <w:p w14:paraId="0250C885">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项目名称</w:t>
            </w:r>
          </w:p>
        </w:tc>
        <w:tc>
          <w:tcPr>
            <w:tcW w:w="13033" w:type="dxa"/>
            <w:gridSpan w:val="13"/>
            <w:tcBorders>
              <w:top w:val="single" w:color="auto" w:sz="4" w:space="0"/>
              <w:left w:val="single" w:color="000000" w:sz="4" w:space="0"/>
              <w:bottom w:val="single" w:color="000000" w:sz="4" w:space="0"/>
              <w:right w:val="single" w:color="auto" w:sz="4" w:space="0"/>
            </w:tcBorders>
            <w:shd w:val="clear" w:color="auto" w:fill="auto"/>
            <w:vAlign w:val="center"/>
          </w:tcPr>
          <w:p w14:paraId="0B7434B5">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A2024-061、A2024-062、A2024-063、A2024-064、A2024-065克拉玛依区老旧电梯更新改造项目（国债）</w:t>
            </w:r>
          </w:p>
        </w:tc>
      </w:tr>
      <w:tr w14:paraId="619F0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792"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14:paraId="5832384E">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主管部门</w:t>
            </w:r>
          </w:p>
        </w:tc>
        <w:tc>
          <w:tcPr>
            <w:tcW w:w="318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D897B96">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克拉玛依市克拉玛依区住房和城乡建设局</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10921">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实施单位</w:t>
            </w:r>
          </w:p>
        </w:tc>
        <w:tc>
          <w:tcPr>
            <w:tcW w:w="8749" w:type="dxa"/>
            <w:gridSpan w:val="8"/>
            <w:tcBorders>
              <w:top w:val="single" w:color="000000" w:sz="4" w:space="0"/>
              <w:left w:val="single" w:color="000000" w:sz="4" w:space="0"/>
              <w:bottom w:val="single" w:color="000000" w:sz="4" w:space="0"/>
              <w:right w:val="single" w:color="auto" w:sz="4" w:space="0"/>
            </w:tcBorders>
            <w:shd w:val="clear" w:color="auto" w:fill="auto"/>
            <w:vAlign w:val="center"/>
          </w:tcPr>
          <w:p w14:paraId="67964DF8">
            <w:pPr>
              <w:jc w:val="center"/>
              <w:rPr>
                <w:rFonts w:hint="eastAsia" w:ascii="仿宋_GB2312" w:hAnsi="仿宋_GB2312" w:eastAsia="仿宋_GB2312" w:cs="仿宋_GB2312"/>
                <w:i w:val="0"/>
                <w:iCs w:val="0"/>
                <w:color w:val="000000"/>
                <w:sz w:val="20"/>
                <w:szCs w:val="20"/>
                <w:highlight w:val="none"/>
                <w:u w:val="none"/>
              </w:rPr>
            </w:pPr>
          </w:p>
        </w:tc>
      </w:tr>
      <w:tr w14:paraId="3B6CF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110" w:type="dxa"/>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14:paraId="7ADBC207">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项目资金（万元）</w:t>
            </w:r>
          </w:p>
        </w:tc>
        <w:tc>
          <w:tcPr>
            <w:tcW w:w="1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20CDC7">
            <w:pPr>
              <w:jc w:val="center"/>
              <w:rPr>
                <w:rFonts w:hint="eastAsia" w:ascii="仿宋_GB2312" w:hAnsi="仿宋_GB2312" w:eastAsia="仿宋_GB2312" w:cs="仿宋_GB2312"/>
                <w:i w:val="0"/>
                <w:iCs w:val="0"/>
                <w:color w:val="000000"/>
                <w:sz w:val="20"/>
                <w:szCs w:val="20"/>
                <w:highlight w:val="none"/>
                <w:u w:val="none"/>
              </w:rPr>
            </w:pPr>
          </w:p>
        </w:tc>
        <w:tc>
          <w:tcPr>
            <w:tcW w:w="1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080F5A">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年初预算数</w:t>
            </w:r>
          </w:p>
        </w:tc>
        <w:tc>
          <w:tcPr>
            <w:tcW w:w="30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3B68B9">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全年预算数</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7A42B">
            <w:pPr>
              <w:jc w:val="center"/>
              <w:rPr>
                <w:rFonts w:hint="eastAsia" w:ascii="仿宋_GB2312" w:hAnsi="仿宋_GB2312" w:eastAsia="仿宋_GB2312" w:cs="仿宋_GB2312"/>
                <w:i w:val="0"/>
                <w:iCs w:val="0"/>
                <w:color w:val="000000"/>
                <w:sz w:val="20"/>
                <w:szCs w:val="20"/>
                <w:highlight w:val="none"/>
                <w:u w:val="none"/>
              </w:rPr>
            </w:pPr>
          </w:p>
        </w:tc>
        <w:tc>
          <w:tcPr>
            <w:tcW w:w="37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485D00">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全年执行数</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B50D5">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分值</w:t>
            </w:r>
          </w:p>
        </w:tc>
        <w:tc>
          <w:tcPr>
            <w:tcW w:w="1922"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737DA354">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执行率</w:t>
            </w:r>
          </w:p>
        </w:tc>
      </w:tr>
      <w:tr w14:paraId="16D93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110"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7517E859">
            <w:pPr>
              <w:jc w:val="center"/>
              <w:rPr>
                <w:rFonts w:hint="eastAsia" w:ascii="仿宋_GB2312" w:hAnsi="仿宋_GB2312" w:eastAsia="仿宋_GB2312" w:cs="仿宋_GB2312"/>
                <w:i w:val="0"/>
                <w:iCs w:val="0"/>
                <w:color w:val="000000"/>
                <w:sz w:val="20"/>
                <w:szCs w:val="20"/>
                <w:highlight w:val="none"/>
                <w:u w:val="none"/>
              </w:rPr>
            </w:pPr>
          </w:p>
        </w:tc>
        <w:tc>
          <w:tcPr>
            <w:tcW w:w="1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E95AF9">
            <w:pPr>
              <w:keepNext w:val="0"/>
              <w:keepLines w:val="0"/>
              <w:widowControl/>
              <w:suppressLineNumbers w:val="0"/>
              <w:ind w:left="0" w:leftChars="0" w:firstLine="200" w:firstLineChars="100"/>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年度资金</w:t>
            </w:r>
          </w:p>
          <w:p w14:paraId="27C50049">
            <w:pPr>
              <w:keepNext w:val="0"/>
              <w:keepLines w:val="0"/>
              <w:widowControl/>
              <w:suppressLineNumbers w:val="0"/>
              <w:ind w:left="0" w:leftChars="0" w:firstLine="200" w:firstLineChars="10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总额</w:t>
            </w:r>
          </w:p>
        </w:tc>
        <w:tc>
          <w:tcPr>
            <w:tcW w:w="1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AE11B2">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0</w:t>
            </w:r>
          </w:p>
        </w:tc>
        <w:tc>
          <w:tcPr>
            <w:tcW w:w="30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648F92">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390</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9D8B9">
            <w:pPr>
              <w:jc w:val="center"/>
              <w:rPr>
                <w:rFonts w:hint="eastAsia" w:ascii="仿宋_GB2312" w:hAnsi="仿宋_GB2312" w:eastAsia="仿宋_GB2312" w:cs="仿宋_GB2312"/>
                <w:i w:val="0"/>
                <w:iCs w:val="0"/>
                <w:color w:val="000000"/>
                <w:sz w:val="20"/>
                <w:szCs w:val="20"/>
                <w:highlight w:val="none"/>
                <w:u w:val="none"/>
              </w:rPr>
            </w:pPr>
          </w:p>
        </w:tc>
        <w:tc>
          <w:tcPr>
            <w:tcW w:w="37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D2785E">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390</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AD15C">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10</w:t>
            </w:r>
          </w:p>
        </w:tc>
        <w:tc>
          <w:tcPr>
            <w:tcW w:w="1922"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49FEF561">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100%</w:t>
            </w:r>
          </w:p>
        </w:tc>
      </w:tr>
      <w:tr w14:paraId="33F70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110"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3F1D8E0C">
            <w:pPr>
              <w:jc w:val="center"/>
              <w:rPr>
                <w:rFonts w:hint="eastAsia" w:ascii="仿宋_GB2312" w:hAnsi="仿宋_GB2312" w:eastAsia="仿宋_GB2312" w:cs="仿宋_GB2312"/>
                <w:i w:val="0"/>
                <w:iCs w:val="0"/>
                <w:color w:val="000000"/>
                <w:sz w:val="20"/>
                <w:szCs w:val="20"/>
                <w:highlight w:val="none"/>
                <w:u w:val="none"/>
              </w:rPr>
            </w:pPr>
          </w:p>
        </w:tc>
        <w:tc>
          <w:tcPr>
            <w:tcW w:w="1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1CAF83">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其中：当年财政拨款</w:t>
            </w:r>
          </w:p>
        </w:tc>
        <w:tc>
          <w:tcPr>
            <w:tcW w:w="1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44C9DA">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0</w:t>
            </w:r>
          </w:p>
        </w:tc>
        <w:tc>
          <w:tcPr>
            <w:tcW w:w="30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67B176">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390</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53D5D">
            <w:pPr>
              <w:jc w:val="center"/>
              <w:rPr>
                <w:rFonts w:hint="eastAsia" w:ascii="仿宋_GB2312" w:hAnsi="仿宋_GB2312" w:eastAsia="仿宋_GB2312" w:cs="仿宋_GB2312"/>
                <w:i w:val="0"/>
                <w:iCs w:val="0"/>
                <w:color w:val="000000"/>
                <w:sz w:val="20"/>
                <w:szCs w:val="20"/>
                <w:highlight w:val="none"/>
                <w:u w:val="none"/>
              </w:rPr>
            </w:pPr>
          </w:p>
        </w:tc>
        <w:tc>
          <w:tcPr>
            <w:tcW w:w="37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DF7FE3">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390</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27F72">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w:t>
            </w:r>
          </w:p>
        </w:tc>
        <w:tc>
          <w:tcPr>
            <w:tcW w:w="1922"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5FACE16E">
            <w:pPr>
              <w:jc w:val="center"/>
              <w:rPr>
                <w:rFonts w:hint="eastAsia" w:ascii="仿宋_GB2312" w:hAnsi="仿宋_GB2312" w:eastAsia="仿宋_GB2312" w:cs="仿宋_GB2312"/>
                <w:i w:val="0"/>
                <w:iCs w:val="0"/>
                <w:color w:val="000000"/>
                <w:sz w:val="20"/>
                <w:szCs w:val="20"/>
                <w:highlight w:val="none"/>
                <w:u w:val="none"/>
              </w:rPr>
            </w:pPr>
          </w:p>
        </w:tc>
      </w:tr>
      <w:tr w14:paraId="3F4DB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110"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34F1EAC5">
            <w:pPr>
              <w:jc w:val="center"/>
              <w:rPr>
                <w:rFonts w:hint="eastAsia" w:ascii="仿宋_GB2312" w:hAnsi="仿宋_GB2312" w:eastAsia="仿宋_GB2312" w:cs="仿宋_GB2312"/>
                <w:i w:val="0"/>
                <w:iCs w:val="0"/>
                <w:color w:val="000000"/>
                <w:sz w:val="20"/>
                <w:szCs w:val="20"/>
                <w:highlight w:val="none"/>
                <w:u w:val="none"/>
              </w:rPr>
            </w:pPr>
          </w:p>
        </w:tc>
        <w:tc>
          <w:tcPr>
            <w:tcW w:w="1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77E6E5">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其他资金</w:t>
            </w:r>
          </w:p>
        </w:tc>
        <w:tc>
          <w:tcPr>
            <w:tcW w:w="1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3DA5ED">
            <w:pPr>
              <w:jc w:val="center"/>
              <w:rPr>
                <w:rFonts w:hint="eastAsia" w:ascii="仿宋_GB2312" w:hAnsi="仿宋_GB2312" w:eastAsia="仿宋_GB2312" w:cs="仿宋_GB2312"/>
                <w:i w:val="0"/>
                <w:iCs w:val="0"/>
                <w:color w:val="000000"/>
                <w:sz w:val="20"/>
                <w:szCs w:val="20"/>
                <w:highlight w:val="none"/>
                <w:u w:val="none"/>
              </w:rPr>
            </w:pPr>
          </w:p>
        </w:tc>
        <w:tc>
          <w:tcPr>
            <w:tcW w:w="30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2ECCCB">
            <w:pPr>
              <w:jc w:val="center"/>
              <w:rPr>
                <w:rFonts w:hint="eastAsia" w:ascii="仿宋_GB2312" w:hAnsi="仿宋_GB2312" w:eastAsia="仿宋_GB2312" w:cs="仿宋_GB2312"/>
                <w:i w:val="0"/>
                <w:iCs w:val="0"/>
                <w:color w:val="000000"/>
                <w:sz w:val="20"/>
                <w:szCs w:val="20"/>
                <w:highlight w:val="none"/>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992FC">
            <w:pPr>
              <w:jc w:val="center"/>
              <w:rPr>
                <w:rFonts w:hint="eastAsia" w:ascii="仿宋_GB2312" w:hAnsi="仿宋_GB2312" w:eastAsia="仿宋_GB2312" w:cs="仿宋_GB2312"/>
                <w:i w:val="0"/>
                <w:iCs w:val="0"/>
                <w:color w:val="000000"/>
                <w:sz w:val="20"/>
                <w:szCs w:val="20"/>
                <w:highlight w:val="none"/>
                <w:u w:val="none"/>
              </w:rPr>
            </w:pPr>
          </w:p>
        </w:tc>
        <w:tc>
          <w:tcPr>
            <w:tcW w:w="37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8E50AE">
            <w:pPr>
              <w:jc w:val="center"/>
              <w:rPr>
                <w:rFonts w:hint="eastAsia" w:ascii="仿宋_GB2312" w:hAnsi="仿宋_GB2312" w:eastAsia="仿宋_GB2312" w:cs="仿宋_GB2312"/>
                <w:i w:val="0"/>
                <w:iCs w:val="0"/>
                <w:color w:val="000000"/>
                <w:sz w:val="20"/>
                <w:szCs w:val="20"/>
                <w:highlight w:val="none"/>
                <w:u w:val="none"/>
              </w:rPr>
            </w:pP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71855">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w:t>
            </w:r>
          </w:p>
        </w:tc>
        <w:tc>
          <w:tcPr>
            <w:tcW w:w="1922"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66BFF8E2">
            <w:pPr>
              <w:jc w:val="center"/>
              <w:rPr>
                <w:rFonts w:hint="eastAsia" w:ascii="仿宋_GB2312" w:hAnsi="仿宋_GB2312" w:eastAsia="仿宋_GB2312" w:cs="仿宋_GB2312"/>
                <w:i w:val="0"/>
                <w:iCs w:val="0"/>
                <w:color w:val="000000"/>
                <w:sz w:val="20"/>
                <w:szCs w:val="20"/>
                <w:highlight w:val="none"/>
                <w:u w:val="none"/>
              </w:rPr>
            </w:pPr>
          </w:p>
        </w:tc>
      </w:tr>
      <w:tr w14:paraId="03483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110" w:type="dxa"/>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14:paraId="5B066341">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年度总体目标</w:t>
            </w:r>
          </w:p>
        </w:tc>
        <w:tc>
          <w:tcPr>
            <w:tcW w:w="387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78198F">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预期目标</w:t>
            </w:r>
          </w:p>
        </w:tc>
        <w:tc>
          <w:tcPr>
            <w:tcW w:w="9845" w:type="dxa"/>
            <w:gridSpan w:val="9"/>
            <w:tcBorders>
              <w:top w:val="single" w:color="000000" w:sz="4" w:space="0"/>
              <w:left w:val="single" w:color="000000" w:sz="4" w:space="0"/>
              <w:bottom w:val="single" w:color="000000" w:sz="4" w:space="0"/>
              <w:right w:val="single" w:color="auto" w:sz="4" w:space="0"/>
            </w:tcBorders>
            <w:shd w:val="clear" w:color="auto" w:fill="auto"/>
            <w:vAlign w:val="center"/>
          </w:tcPr>
          <w:p w14:paraId="2B1BA598">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实际完成情况</w:t>
            </w:r>
          </w:p>
        </w:tc>
      </w:tr>
      <w:tr w14:paraId="3ECAB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1110"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00899CE4">
            <w:pPr>
              <w:jc w:val="center"/>
              <w:rPr>
                <w:rFonts w:hint="eastAsia" w:ascii="仿宋_GB2312" w:hAnsi="仿宋_GB2312" w:eastAsia="仿宋_GB2312" w:cs="仿宋_GB2312"/>
                <w:i w:val="0"/>
                <w:iCs w:val="0"/>
                <w:color w:val="000000"/>
                <w:sz w:val="20"/>
                <w:szCs w:val="20"/>
                <w:highlight w:val="none"/>
                <w:u w:val="none"/>
              </w:rPr>
            </w:pPr>
          </w:p>
        </w:tc>
        <w:tc>
          <w:tcPr>
            <w:tcW w:w="387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26B099">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2024年根据住建部、国家发展改革委、市场监管总局印发《关于请抓紧做好2024年住宅老旧电梯更新改造有关工作的通知》文件，克拉玛依区申请超长期国债390万元，对26部已办理使用登记、使用年限长、配置水平低、运行故障率高、群众更新改造意愿强烈的电梯更新改造。</w:t>
            </w:r>
          </w:p>
        </w:tc>
        <w:tc>
          <w:tcPr>
            <w:tcW w:w="9845" w:type="dxa"/>
            <w:gridSpan w:val="9"/>
            <w:tcBorders>
              <w:top w:val="single" w:color="000000" w:sz="4" w:space="0"/>
              <w:left w:val="single" w:color="000000" w:sz="4" w:space="0"/>
              <w:bottom w:val="single" w:color="000000" w:sz="4" w:space="0"/>
              <w:right w:val="single" w:color="auto" w:sz="4" w:space="0"/>
            </w:tcBorders>
            <w:shd w:val="clear" w:color="auto" w:fill="auto"/>
            <w:vAlign w:val="center"/>
          </w:tcPr>
          <w:p w14:paraId="08AF0CB4">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截至2025年6月，26部老旧电梯均已投入使用，并取得特设部门相关证书。改造后的居民用上了安全、可靠的新电梯，出行更加安全便捷，幸福感显著增强。</w:t>
            </w:r>
          </w:p>
        </w:tc>
      </w:tr>
      <w:tr w14:paraId="12D90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1110" w:type="dxa"/>
            <w:tcBorders>
              <w:top w:val="single" w:color="000000" w:sz="4" w:space="0"/>
              <w:left w:val="single" w:color="auto" w:sz="4" w:space="0"/>
              <w:bottom w:val="single" w:color="000000" w:sz="4" w:space="0"/>
              <w:right w:val="single" w:color="000000" w:sz="4" w:space="0"/>
            </w:tcBorders>
            <w:shd w:val="clear" w:color="auto" w:fill="auto"/>
            <w:vAlign w:val="center"/>
          </w:tcPr>
          <w:p w14:paraId="29C2DDCC">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一级指标</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0F395">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二级指标</w:t>
            </w:r>
          </w:p>
        </w:tc>
        <w:tc>
          <w:tcPr>
            <w:tcW w:w="1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F585AA">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三级指标</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95463">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目标指标值</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7C04D">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业绩值</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28F4A">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完成率</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BFC72">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备注</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E6C85">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指标值设定依据</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59361">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上年完成情况</w:t>
            </w:r>
          </w:p>
        </w:tc>
        <w:tc>
          <w:tcPr>
            <w:tcW w:w="1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DD2FC">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赋分规则</w:t>
            </w:r>
          </w:p>
        </w:tc>
        <w:tc>
          <w:tcPr>
            <w:tcW w:w="1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8A233">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佐证资料</w:t>
            </w:r>
          </w:p>
        </w:tc>
        <w:tc>
          <w:tcPr>
            <w:tcW w:w="1147"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0C98B513">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权重</w:t>
            </w:r>
          </w:p>
        </w:tc>
        <w:tc>
          <w:tcPr>
            <w:tcW w:w="1026" w:type="dxa"/>
            <w:tcBorders>
              <w:top w:val="single" w:color="auto" w:sz="4" w:space="0"/>
              <w:left w:val="single" w:color="auto" w:sz="4" w:space="0"/>
              <w:bottom w:val="single" w:color="auto" w:sz="4" w:space="0"/>
              <w:right w:val="single" w:color="000000" w:sz="4" w:space="0"/>
            </w:tcBorders>
            <w:shd w:val="clear" w:color="auto" w:fill="auto"/>
            <w:vAlign w:val="center"/>
          </w:tcPr>
          <w:p w14:paraId="4AD10427">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得分</w:t>
            </w:r>
          </w:p>
        </w:tc>
        <w:tc>
          <w:tcPr>
            <w:tcW w:w="896" w:type="dxa"/>
            <w:tcBorders>
              <w:top w:val="single" w:color="auto" w:sz="4" w:space="0"/>
              <w:left w:val="single" w:color="000000" w:sz="4" w:space="0"/>
              <w:bottom w:val="single" w:color="auto" w:sz="4" w:space="0"/>
              <w:right w:val="single" w:color="auto" w:sz="4" w:space="0"/>
            </w:tcBorders>
            <w:shd w:val="clear" w:color="auto" w:fill="auto"/>
            <w:vAlign w:val="center"/>
          </w:tcPr>
          <w:p w14:paraId="2D4000BD">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偏差原因分析及改进措施</w:t>
            </w:r>
          </w:p>
        </w:tc>
      </w:tr>
      <w:tr w14:paraId="17A04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1110" w:type="dxa"/>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14:paraId="3B8CE85D">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产出指标</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2A1DF">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数量指标</w:t>
            </w:r>
          </w:p>
        </w:tc>
        <w:tc>
          <w:tcPr>
            <w:tcW w:w="1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213F29">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设备购买数量</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7B1E0">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≥26台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2907D">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26台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95595">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100%</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0C7A8">
            <w:pPr>
              <w:jc w:val="center"/>
              <w:rPr>
                <w:rFonts w:hint="eastAsia" w:ascii="仿宋_GB2312" w:hAnsi="仿宋_GB2312" w:eastAsia="仿宋_GB2312" w:cs="仿宋_GB2312"/>
                <w:i w:val="0"/>
                <w:iCs w:val="0"/>
                <w:color w:val="000000"/>
                <w:sz w:val="20"/>
                <w:szCs w:val="20"/>
                <w:highlight w:val="none"/>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FDA5B">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计划标准</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A6B4D">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0E1A8">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按照完成比例赋分</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FBA04">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工作资料</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99F33">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10</w:t>
            </w:r>
          </w:p>
        </w:tc>
        <w:tc>
          <w:tcPr>
            <w:tcW w:w="1026" w:type="dxa"/>
            <w:tcBorders>
              <w:top w:val="single" w:color="auto" w:sz="4" w:space="0"/>
              <w:left w:val="single" w:color="000000" w:sz="4" w:space="0"/>
              <w:bottom w:val="single" w:color="000000" w:sz="4" w:space="0"/>
              <w:right w:val="single" w:color="000000" w:sz="4" w:space="0"/>
            </w:tcBorders>
            <w:shd w:val="clear" w:color="auto" w:fill="auto"/>
            <w:vAlign w:val="center"/>
          </w:tcPr>
          <w:p w14:paraId="0AF4BE04">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10</w:t>
            </w:r>
          </w:p>
        </w:tc>
        <w:tc>
          <w:tcPr>
            <w:tcW w:w="896" w:type="dxa"/>
            <w:tcBorders>
              <w:top w:val="single" w:color="auto" w:sz="4" w:space="0"/>
              <w:left w:val="single" w:color="000000" w:sz="4" w:space="0"/>
              <w:bottom w:val="single" w:color="000000" w:sz="4" w:space="0"/>
              <w:right w:val="single" w:color="auto" w:sz="4" w:space="0"/>
            </w:tcBorders>
            <w:shd w:val="clear" w:color="auto" w:fill="auto"/>
            <w:vAlign w:val="center"/>
          </w:tcPr>
          <w:p w14:paraId="74E94859">
            <w:pPr>
              <w:jc w:val="center"/>
              <w:rPr>
                <w:rFonts w:hint="eastAsia" w:ascii="仿宋_GB2312" w:hAnsi="仿宋_GB2312" w:eastAsia="仿宋_GB2312" w:cs="仿宋_GB2312"/>
                <w:i w:val="0"/>
                <w:iCs w:val="0"/>
                <w:color w:val="000000"/>
                <w:sz w:val="20"/>
                <w:szCs w:val="20"/>
                <w:highlight w:val="none"/>
                <w:u w:val="none"/>
              </w:rPr>
            </w:pPr>
          </w:p>
        </w:tc>
      </w:tr>
      <w:tr w14:paraId="3E65F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1110"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7AE09BEE">
            <w:pPr>
              <w:jc w:val="center"/>
              <w:rPr>
                <w:rFonts w:hint="eastAsia" w:ascii="仿宋_GB2312" w:hAnsi="仿宋_GB2312" w:eastAsia="仿宋_GB2312" w:cs="仿宋_GB2312"/>
                <w:i w:val="0"/>
                <w:iCs w:val="0"/>
                <w:color w:val="000000"/>
                <w:sz w:val="20"/>
                <w:szCs w:val="20"/>
                <w:highlight w:val="none"/>
                <w:u w:val="none"/>
              </w:rPr>
            </w:pPr>
          </w:p>
        </w:tc>
        <w:tc>
          <w:tcPr>
            <w:tcW w:w="6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DAE072">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质量指标</w:t>
            </w:r>
          </w:p>
        </w:tc>
        <w:tc>
          <w:tcPr>
            <w:tcW w:w="1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7AF764">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项目验收合格率</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4528D">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=100%</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D7EBA">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100%</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41561">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100%</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66D33">
            <w:pPr>
              <w:jc w:val="center"/>
              <w:rPr>
                <w:rFonts w:hint="eastAsia" w:ascii="仿宋_GB2312" w:hAnsi="仿宋_GB2312" w:eastAsia="仿宋_GB2312" w:cs="仿宋_GB2312"/>
                <w:i w:val="0"/>
                <w:iCs w:val="0"/>
                <w:color w:val="000000"/>
                <w:sz w:val="20"/>
                <w:szCs w:val="20"/>
                <w:highlight w:val="none"/>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93EE5">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计划标准</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051F2">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B4A64">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按照完成比例赋分</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62CBC">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工作资料</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95FAD">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5</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F5A30">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5</w:t>
            </w:r>
          </w:p>
        </w:tc>
        <w:tc>
          <w:tcPr>
            <w:tcW w:w="896" w:type="dxa"/>
            <w:tcBorders>
              <w:top w:val="single" w:color="000000" w:sz="4" w:space="0"/>
              <w:left w:val="single" w:color="000000" w:sz="4" w:space="0"/>
              <w:bottom w:val="single" w:color="000000" w:sz="4" w:space="0"/>
              <w:right w:val="single" w:color="auto" w:sz="4" w:space="0"/>
            </w:tcBorders>
            <w:shd w:val="clear" w:color="auto" w:fill="auto"/>
            <w:vAlign w:val="center"/>
          </w:tcPr>
          <w:p w14:paraId="4D3B0AE9">
            <w:pPr>
              <w:jc w:val="center"/>
              <w:rPr>
                <w:rFonts w:hint="eastAsia" w:ascii="仿宋_GB2312" w:hAnsi="仿宋_GB2312" w:eastAsia="仿宋_GB2312" w:cs="仿宋_GB2312"/>
                <w:i w:val="0"/>
                <w:iCs w:val="0"/>
                <w:color w:val="000000"/>
                <w:sz w:val="20"/>
                <w:szCs w:val="20"/>
                <w:highlight w:val="none"/>
                <w:u w:val="none"/>
              </w:rPr>
            </w:pPr>
          </w:p>
        </w:tc>
      </w:tr>
      <w:tr w14:paraId="4C1B8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1110" w:type="dxa"/>
            <w:vMerge w:val="continue"/>
            <w:tcBorders>
              <w:top w:val="single" w:color="000000" w:sz="4" w:space="0"/>
              <w:left w:val="single" w:color="auto" w:sz="4" w:space="0"/>
              <w:bottom w:val="single" w:color="auto" w:sz="4" w:space="0"/>
              <w:right w:val="single" w:color="000000" w:sz="4" w:space="0"/>
            </w:tcBorders>
            <w:shd w:val="clear" w:color="auto" w:fill="auto"/>
            <w:vAlign w:val="center"/>
          </w:tcPr>
          <w:p w14:paraId="1F652451">
            <w:pPr>
              <w:jc w:val="center"/>
              <w:rPr>
                <w:rFonts w:hint="eastAsia" w:ascii="仿宋_GB2312" w:hAnsi="仿宋_GB2312" w:eastAsia="仿宋_GB2312" w:cs="仿宋_GB2312"/>
                <w:i w:val="0"/>
                <w:iCs w:val="0"/>
                <w:color w:val="000000"/>
                <w:sz w:val="20"/>
                <w:szCs w:val="20"/>
                <w:highlight w:val="none"/>
                <w:u w:val="none"/>
              </w:rPr>
            </w:pPr>
          </w:p>
        </w:tc>
        <w:tc>
          <w:tcPr>
            <w:tcW w:w="682"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58037962">
            <w:pPr>
              <w:jc w:val="center"/>
              <w:rPr>
                <w:rFonts w:hint="eastAsia" w:ascii="仿宋_GB2312" w:hAnsi="仿宋_GB2312" w:eastAsia="仿宋_GB2312" w:cs="仿宋_GB2312"/>
                <w:i w:val="0"/>
                <w:iCs w:val="0"/>
                <w:color w:val="000000"/>
                <w:sz w:val="20"/>
                <w:szCs w:val="20"/>
                <w:highlight w:val="none"/>
                <w:u w:val="none"/>
              </w:rPr>
            </w:pPr>
          </w:p>
        </w:tc>
        <w:tc>
          <w:tcPr>
            <w:tcW w:w="1217"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14:paraId="6CDB925A">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政府采购率</w:t>
            </w:r>
          </w:p>
        </w:tc>
        <w:tc>
          <w:tcPr>
            <w:tcW w:w="875" w:type="dxa"/>
            <w:tcBorders>
              <w:top w:val="single" w:color="000000" w:sz="4" w:space="0"/>
              <w:left w:val="single" w:color="000000" w:sz="4" w:space="0"/>
              <w:bottom w:val="single" w:color="auto" w:sz="4" w:space="0"/>
              <w:right w:val="single" w:color="000000" w:sz="4" w:space="0"/>
            </w:tcBorders>
            <w:shd w:val="clear" w:color="auto" w:fill="auto"/>
            <w:vAlign w:val="center"/>
          </w:tcPr>
          <w:p w14:paraId="048A6855">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=100%</w:t>
            </w:r>
          </w:p>
        </w:tc>
        <w:tc>
          <w:tcPr>
            <w:tcW w:w="1096" w:type="dxa"/>
            <w:tcBorders>
              <w:top w:val="single" w:color="000000" w:sz="4" w:space="0"/>
              <w:left w:val="single" w:color="000000" w:sz="4" w:space="0"/>
              <w:bottom w:val="single" w:color="auto" w:sz="4" w:space="0"/>
              <w:right w:val="single" w:color="000000" w:sz="4" w:space="0"/>
            </w:tcBorders>
            <w:shd w:val="clear" w:color="auto" w:fill="auto"/>
            <w:vAlign w:val="center"/>
          </w:tcPr>
          <w:p w14:paraId="69C19B6D">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100%</w:t>
            </w:r>
          </w:p>
        </w:tc>
        <w:tc>
          <w:tcPr>
            <w:tcW w:w="1096" w:type="dxa"/>
            <w:tcBorders>
              <w:top w:val="single" w:color="000000" w:sz="4" w:space="0"/>
              <w:left w:val="single" w:color="000000" w:sz="4" w:space="0"/>
              <w:bottom w:val="single" w:color="auto" w:sz="4" w:space="0"/>
              <w:right w:val="single" w:color="000000" w:sz="4" w:space="0"/>
            </w:tcBorders>
            <w:shd w:val="clear" w:color="auto" w:fill="auto"/>
            <w:vAlign w:val="center"/>
          </w:tcPr>
          <w:p w14:paraId="35524322">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100%</w:t>
            </w:r>
          </w:p>
        </w:tc>
        <w:tc>
          <w:tcPr>
            <w:tcW w:w="896" w:type="dxa"/>
            <w:tcBorders>
              <w:top w:val="single" w:color="000000" w:sz="4" w:space="0"/>
              <w:left w:val="single" w:color="000000" w:sz="4" w:space="0"/>
              <w:bottom w:val="single" w:color="auto" w:sz="4" w:space="0"/>
              <w:right w:val="single" w:color="000000" w:sz="4" w:space="0"/>
            </w:tcBorders>
            <w:shd w:val="clear" w:color="auto" w:fill="auto"/>
            <w:vAlign w:val="center"/>
          </w:tcPr>
          <w:p w14:paraId="67672052">
            <w:pPr>
              <w:jc w:val="center"/>
              <w:rPr>
                <w:rFonts w:hint="eastAsia" w:ascii="仿宋_GB2312" w:hAnsi="仿宋_GB2312" w:eastAsia="仿宋_GB2312" w:cs="仿宋_GB2312"/>
                <w:i w:val="0"/>
                <w:iCs w:val="0"/>
                <w:color w:val="000000"/>
                <w:sz w:val="20"/>
                <w:szCs w:val="20"/>
                <w:highlight w:val="none"/>
                <w:u w:val="none"/>
              </w:rPr>
            </w:pPr>
          </w:p>
        </w:tc>
        <w:tc>
          <w:tcPr>
            <w:tcW w:w="1047" w:type="dxa"/>
            <w:tcBorders>
              <w:top w:val="single" w:color="000000" w:sz="4" w:space="0"/>
              <w:left w:val="single" w:color="000000" w:sz="4" w:space="0"/>
              <w:bottom w:val="single" w:color="auto" w:sz="4" w:space="0"/>
              <w:right w:val="single" w:color="000000" w:sz="4" w:space="0"/>
            </w:tcBorders>
            <w:shd w:val="clear" w:color="auto" w:fill="auto"/>
            <w:vAlign w:val="center"/>
          </w:tcPr>
          <w:p w14:paraId="4FF685B1">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计划标准</w:t>
            </w:r>
          </w:p>
        </w:tc>
        <w:tc>
          <w:tcPr>
            <w:tcW w:w="745" w:type="dxa"/>
            <w:tcBorders>
              <w:top w:val="single" w:color="000000" w:sz="4" w:space="0"/>
              <w:left w:val="single" w:color="000000" w:sz="4" w:space="0"/>
              <w:bottom w:val="single" w:color="auto" w:sz="4" w:space="0"/>
              <w:right w:val="single" w:color="000000" w:sz="4" w:space="0"/>
            </w:tcBorders>
            <w:shd w:val="clear" w:color="auto" w:fill="auto"/>
            <w:vAlign w:val="center"/>
          </w:tcPr>
          <w:p w14:paraId="17E89D08">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w:t>
            </w:r>
          </w:p>
        </w:tc>
        <w:tc>
          <w:tcPr>
            <w:tcW w:w="1496" w:type="dxa"/>
            <w:tcBorders>
              <w:top w:val="single" w:color="000000" w:sz="4" w:space="0"/>
              <w:left w:val="single" w:color="000000" w:sz="4" w:space="0"/>
              <w:bottom w:val="single" w:color="auto" w:sz="4" w:space="0"/>
              <w:right w:val="single" w:color="000000" w:sz="4" w:space="0"/>
            </w:tcBorders>
            <w:shd w:val="clear" w:color="auto" w:fill="auto"/>
            <w:vAlign w:val="center"/>
          </w:tcPr>
          <w:p w14:paraId="1A7518A6">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按照完成比例赋分</w:t>
            </w:r>
          </w:p>
        </w:tc>
        <w:tc>
          <w:tcPr>
            <w:tcW w:w="1496" w:type="dxa"/>
            <w:tcBorders>
              <w:top w:val="single" w:color="000000" w:sz="4" w:space="0"/>
              <w:left w:val="single" w:color="000000" w:sz="4" w:space="0"/>
              <w:bottom w:val="single" w:color="auto" w:sz="4" w:space="0"/>
              <w:right w:val="single" w:color="000000" w:sz="4" w:space="0"/>
            </w:tcBorders>
            <w:shd w:val="clear" w:color="auto" w:fill="auto"/>
            <w:vAlign w:val="center"/>
          </w:tcPr>
          <w:p w14:paraId="4EAE6D7F">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工作资料</w:t>
            </w:r>
          </w:p>
        </w:tc>
        <w:tc>
          <w:tcPr>
            <w:tcW w:w="1147" w:type="dxa"/>
            <w:tcBorders>
              <w:top w:val="single" w:color="000000" w:sz="4" w:space="0"/>
              <w:left w:val="single" w:color="000000" w:sz="4" w:space="0"/>
              <w:bottom w:val="single" w:color="auto" w:sz="4" w:space="0"/>
              <w:right w:val="single" w:color="000000" w:sz="4" w:space="0"/>
            </w:tcBorders>
            <w:shd w:val="clear" w:color="auto" w:fill="auto"/>
            <w:vAlign w:val="center"/>
          </w:tcPr>
          <w:p w14:paraId="654E9CE1">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5</w:t>
            </w:r>
          </w:p>
        </w:tc>
        <w:tc>
          <w:tcPr>
            <w:tcW w:w="1026" w:type="dxa"/>
            <w:tcBorders>
              <w:top w:val="single" w:color="000000" w:sz="4" w:space="0"/>
              <w:left w:val="single" w:color="000000" w:sz="4" w:space="0"/>
              <w:bottom w:val="single" w:color="auto" w:sz="4" w:space="0"/>
              <w:right w:val="single" w:color="000000" w:sz="4" w:space="0"/>
            </w:tcBorders>
            <w:shd w:val="clear" w:color="auto" w:fill="auto"/>
            <w:vAlign w:val="center"/>
          </w:tcPr>
          <w:p w14:paraId="64519302">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5</w:t>
            </w:r>
          </w:p>
        </w:tc>
        <w:tc>
          <w:tcPr>
            <w:tcW w:w="896" w:type="dxa"/>
            <w:tcBorders>
              <w:top w:val="single" w:color="000000" w:sz="4" w:space="0"/>
              <w:left w:val="single" w:color="000000" w:sz="4" w:space="0"/>
              <w:bottom w:val="single" w:color="auto" w:sz="4" w:space="0"/>
              <w:right w:val="single" w:color="auto" w:sz="4" w:space="0"/>
            </w:tcBorders>
            <w:shd w:val="clear" w:color="auto" w:fill="auto"/>
            <w:vAlign w:val="center"/>
          </w:tcPr>
          <w:p w14:paraId="7E928E8E">
            <w:pPr>
              <w:jc w:val="center"/>
              <w:rPr>
                <w:rFonts w:hint="eastAsia" w:ascii="仿宋_GB2312" w:hAnsi="仿宋_GB2312" w:eastAsia="仿宋_GB2312" w:cs="仿宋_GB2312"/>
                <w:i w:val="0"/>
                <w:iCs w:val="0"/>
                <w:color w:val="000000"/>
                <w:sz w:val="20"/>
                <w:szCs w:val="20"/>
                <w:highlight w:val="none"/>
                <w:u w:val="none"/>
              </w:rPr>
            </w:pPr>
          </w:p>
        </w:tc>
      </w:tr>
      <w:tr w14:paraId="5FB94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1110"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418FAD40">
            <w:pPr>
              <w:jc w:val="center"/>
              <w:rPr>
                <w:rFonts w:hint="eastAsia" w:ascii="仿宋_GB2312" w:hAnsi="仿宋_GB2312" w:eastAsia="仿宋_GB2312" w:cs="仿宋_GB2312"/>
                <w:i w:val="0"/>
                <w:iCs w:val="0"/>
                <w:color w:val="000000"/>
                <w:sz w:val="20"/>
                <w:szCs w:val="20"/>
                <w:highlight w:val="none"/>
                <w:u w:val="none"/>
              </w:rPr>
            </w:pPr>
          </w:p>
        </w:tc>
        <w:tc>
          <w:tcPr>
            <w:tcW w:w="682" w:type="dxa"/>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244C5E07">
            <w:pPr>
              <w:jc w:val="center"/>
              <w:rPr>
                <w:rFonts w:hint="eastAsia" w:ascii="仿宋_GB2312" w:hAnsi="仿宋_GB2312" w:eastAsia="仿宋_GB2312" w:cs="仿宋_GB2312"/>
                <w:i w:val="0"/>
                <w:iCs w:val="0"/>
                <w:color w:val="000000"/>
                <w:sz w:val="20"/>
                <w:szCs w:val="20"/>
                <w:highlight w:val="none"/>
                <w:u w:val="none"/>
              </w:rPr>
            </w:pPr>
          </w:p>
        </w:tc>
        <w:tc>
          <w:tcPr>
            <w:tcW w:w="1217"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22D013DC">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设备质量合格率</w:t>
            </w:r>
          </w:p>
        </w:tc>
        <w:tc>
          <w:tcPr>
            <w:tcW w:w="875" w:type="dxa"/>
            <w:tcBorders>
              <w:top w:val="single" w:color="auto" w:sz="4" w:space="0"/>
              <w:left w:val="single" w:color="000000" w:sz="4" w:space="0"/>
              <w:bottom w:val="single" w:color="000000" w:sz="4" w:space="0"/>
              <w:right w:val="single" w:color="000000" w:sz="4" w:space="0"/>
            </w:tcBorders>
            <w:shd w:val="clear" w:color="auto" w:fill="auto"/>
            <w:vAlign w:val="center"/>
          </w:tcPr>
          <w:p w14:paraId="455EE772">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=100%</w:t>
            </w:r>
          </w:p>
        </w:tc>
        <w:tc>
          <w:tcPr>
            <w:tcW w:w="1096" w:type="dxa"/>
            <w:tcBorders>
              <w:top w:val="single" w:color="auto" w:sz="4" w:space="0"/>
              <w:left w:val="single" w:color="000000" w:sz="4" w:space="0"/>
              <w:bottom w:val="single" w:color="000000" w:sz="4" w:space="0"/>
              <w:right w:val="single" w:color="000000" w:sz="4" w:space="0"/>
            </w:tcBorders>
            <w:shd w:val="clear" w:color="auto" w:fill="auto"/>
            <w:vAlign w:val="center"/>
          </w:tcPr>
          <w:p w14:paraId="11D1A398">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100%</w:t>
            </w:r>
          </w:p>
        </w:tc>
        <w:tc>
          <w:tcPr>
            <w:tcW w:w="1096" w:type="dxa"/>
            <w:tcBorders>
              <w:top w:val="single" w:color="auto" w:sz="4" w:space="0"/>
              <w:left w:val="single" w:color="000000" w:sz="4" w:space="0"/>
              <w:bottom w:val="single" w:color="000000" w:sz="4" w:space="0"/>
              <w:right w:val="single" w:color="000000" w:sz="4" w:space="0"/>
            </w:tcBorders>
            <w:shd w:val="clear" w:color="auto" w:fill="auto"/>
            <w:vAlign w:val="center"/>
          </w:tcPr>
          <w:p w14:paraId="35595093">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100%</w:t>
            </w:r>
          </w:p>
        </w:tc>
        <w:tc>
          <w:tcPr>
            <w:tcW w:w="896" w:type="dxa"/>
            <w:tcBorders>
              <w:top w:val="single" w:color="auto" w:sz="4" w:space="0"/>
              <w:left w:val="single" w:color="000000" w:sz="4" w:space="0"/>
              <w:bottom w:val="single" w:color="000000" w:sz="4" w:space="0"/>
              <w:right w:val="single" w:color="000000" w:sz="4" w:space="0"/>
            </w:tcBorders>
            <w:shd w:val="clear" w:color="auto" w:fill="auto"/>
            <w:vAlign w:val="center"/>
          </w:tcPr>
          <w:p w14:paraId="7007391F">
            <w:pPr>
              <w:jc w:val="center"/>
              <w:rPr>
                <w:rFonts w:hint="eastAsia" w:ascii="仿宋_GB2312" w:hAnsi="仿宋_GB2312" w:eastAsia="仿宋_GB2312" w:cs="仿宋_GB2312"/>
                <w:i w:val="0"/>
                <w:iCs w:val="0"/>
                <w:color w:val="000000"/>
                <w:sz w:val="20"/>
                <w:szCs w:val="20"/>
                <w:highlight w:val="none"/>
                <w:u w:val="none"/>
              </w:rPr>
            </w:pPr>
          </w:p>
        </w:tc>
        <w:tc>
          <w:tcPr>
            <w:tcW w:w="1047" w:type="dxa"/>
            <w:tcBorders>
              <w:top w:val="single" w:color="auto" w:sz="4" w:space="0"/>
              <w:left w:val="single" w:color="000000" w:sz="4" w:space="0"/>
              <w:bottom w:val="single" w:color="000000" w:sz="4" w:space="0"/>
              <w:right w:val="single" w:color="000000" w:sz="4" w:space="0"/>
            </w:tcBorders>
            <w:shd w:val="clear" w:color="auto" w:fill="auto"/>
            <w:vAlign w:val="center"/>
          </w:tcPr>
          <w:p w14:paraId="2C6A9586">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计划标准</w:t>
            </w:r>
          </w:p>
        </w:tc>
        <w:tc>
          <w:tcPr>
            <w:tcW w:w="745" w:type="dxa"/>
            <w:tcBorders>
              <w:top w:val="single" w:color="auto" w:sz="4" w:space="0"/>
              <w:left w:val="single" w:color="000000" w:sz="4" w:space="0"/>
              <w:bottom w:val="single" w:color="000000" w:sz="4" w:space="0"/>
              <w:right w:val="single" w:color="000000" w:sz="4" w:space="0"/>
            </w:tcBorders>
            <w:shd w:val="clear" w:color="auto" w:fill="auto"/>
            <w:vAlign w:val="center"/>
          </w:tcPr>
          <w:p w14:paraId="2351D536">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w:t>
            </w:r>
          </w:p>
        </w:tc>
        <w:tc>
          <w:tcPr>
            <w:tcW w:w="1496" w:type="dxa"/>
            <w:tcBorders>
              <w:top w:val="single" w:color="auto" w:sz="4" w:space="0"/>
              <w:left w:val="single" w:color="000000" w:sz="4" w:space="0"/>
              <w:bottom w:val="single" w:color="000000" w:sz="4" w:space="0"/>
              <w:right w:val="single" w:color="000000" w:sz="4" w:space="0"/>
            </w:tcBorders>
            <w:shd w:val="clear" w:color="auto" w:fill="auto"/>
            <w:vAlign w:val="center"/>
          </w:tcPr>
          <w:p w14:paraId="6DB95964">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按照完成比例赋分</w:t>
            </w:r>
          </w:p>
        </w:tc>
        <w:tc>
          <w:tcPr>
            <w:tcW w:w="1496" w:type="dxa"/>
            <w:tcBorders>
              <w:top w:val="single" w:color="auto" w:sz="4" w:space="0"/>
              <w:left w:val="single" w:color="000000" w:sz="4" w:space="0"/>
              <w:bottom w:val="single" w:color="000000" w:sz="4" w:space="0"/>
              <w:right w:val="single" w:color="000000" w:sz="4" w:space="0"/>
            </w:tcBorders>
            <w:shd w:val="clear" w:color="auto" w:fill="auto"/>
            <w:vAlign w:val="center"/>
          </w:tcPr>
          <w:p w14:paraId="3023FF3D">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工作资料</w:t>
            </w:r>
          </w:p>
        </w:tc>
        <w:tc>
          <w:tcPr>
            <w:tcW w:w="1147" w:type="dxa"/>
            <w:tcBorders>
              <w:top w:val="single" w:color="auto" w:sz="4" w:space="0"/>
              <w:left w:val="single" w:color="000000" w:sz="4" w:space="0"/>
              <w:bottom w:val="single" w:color="000000" w:sz="4" w:space="0"/>
              <w:right w:val="single" w:color="000000" w:sz="4" w:space="0"/>
            </w:tcBorders>
            <w:shd w:val="clear" w:color="auto" w:fill="auto"/>
            <w:vAlign w:val="center"/>
          </w:tcPr>
          <w:p w14:paraId="2B1DDDAB">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10</w:t>
            </w:r>
          </w:p>
        </w:tc>
        <w:tc>
          <w:tcPr>
            <w:tcW w:w="1026" w:type="dxa"/>
            <w:tcBorders>
              <w:top w:val="single" w:color="auto" w:sz="4" w:space="0"/>
              <w:left w:val="single" w:color="000000" w:sz="4" w:space="0"/>
              <w:bottom w:val="single" w:color="000000" w:sz="4" w:space="0"/>
              <w:right w:val="single" w:color="auto" w:sz="4" w:space="0"/>
            </w:tcBorders>
            <w:shd w:val="clear" w:color="auto" w:fill="auto"/>
            <w:vAlign w:val="center"/>
          </w:tcPr>
          <w:p w14:paraId="10698259">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10</w:t>
            </w:r>
          </w:p>
        </w:tc>
        <w:tc>
          <w:tcPr>
            <w:tcW w:w="896" w:type="dxa"/>
            <w:tcBorders>
              <w:top w:val="single" w:color="auto" w:sz="4" w:space="0"/>
              <w:left w:val="single" w:color="auto" w:sz="4" w:space="0"/>
              <w:bottom w:val="single" w:color="000000" w:sz="4" w:space="0"/>
              <w:right w:val="single" w:color="auto" w:sz="4" w:space="0"/>
            </w:tcBorders>
            <w:shd w:val="clear" w:color="auto" w:fill="auto"/>
            <w:vAlign w:val="center"/>
          </w:tcPr>
          <w:p w14:paraId="333625C3">
            <w:pPr>
              <w:jc w:val="center"/>
              <w:rPr>
                <w:rFonts w:hint="eastAsia" w:ascii="仿宋_GB2312" w:hAnsi="仿宋_GB2312" w:eastAsia="仿宋_GB2312" w:cs="仿宋_GB2312"/>
                <w:i w:val="0"/>
                <w:iCs w:val="0"/>
                <w:color w:val="000000"/>
                <w:sz w:val="20"/>
                <w:szCs w:val="20"/>
                <w:highlight w:val="none"/>
                <w:u w:val="none"/>
              </w:rPr>
            </w:pPr>
          </w:p>
        </w:tc>
      </w:tr>
      <w:tr w14:paraId="7C3A7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1110"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3F4B8D93">
            <w:pPr>
              <w:jc w:val="center"/>
              <w:rPr>
                <w:rFonts w:hint="eastAsia" w:ascii="仿宋_GB2312" w:hAnsi="仿宋_GB2312" w:eastAsia="仿宋_GB2312" w:cs="仿宋_GB2312"/>
                <w:i w:val="0"/>
                <w:iCs w:val="0"/>
                <w:color w:val="000000"/>
                <w:sz w:val="20"/>
                <w:szCs w:val="20"/>
                <w:highlight w:val="none"/>
                <w:u w:val="none"/>
              </w:rPr>
            </w:pP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04F58">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时效指标</w:t>
            </w:r>
          </w:p>
        </w:tc>
        <w:tc>
          <w:tcPr>
            <w:tcW w:w="1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04815E">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设备采购完成时间</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CD842">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2025年2月1日</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2A25F">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2025年2月1日</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EF3B8">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100%</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C2BC6">
            <w:pPr>
              <w:jc w:val="center"/>
              <w:rPr>
                <w:rFonts w:hint="eastAsia" w:ascii="仿宋_GB2312" w:hAnsi="仿宋_GB2312" w:eastAsia="仿宋_GB2312" w:cs="仿宋_GB2312"/>
                <w:i w:val="0"/>
                <w:iCs w:val="0"/>
                <w:color w:val="000000"/>
                <w:sz w:val="20"/>
                <w:szCs w:val="20"/>
                <w:highlight w:val="none"/>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8DEE8">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计划标准</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76DA3">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A1BFD">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按照完成比例赋分</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086A0">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工作资料</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4BF62">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10</w:t>
            </w:r>
          </w:p>
        </w:tc>
        <w:tc>
          <w:tcPr>
            <w:tcW w:w="1026" w:type="dxa"/>
            <w:tcBorders>
              <w:top w:val="single" w:color="000000" w:sz="4" w:space="0"/>
              <w:left w:val="single" w:color="000000" w:sz="4" w:space="0"/>
              <w:bottom w:val="single" w:color="000000" w:sz="4" w:space="0"/>
              <w:right w:val="single" w:color="auto" w:sz="4" w:space="0"/>
            </w:tcBorders>
            <w:shd w:val="clear" w:color="auto" w:fill="auto"/>
            <w:vAlign w:val="center"/>
          </w:tcPr>
          <w:p w14:paraId="5FFBEF6E">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10</w:t>
            </w:r>
          </w:p>
        </w:tc>
        <w:tc>
          <w:tcPr>
            <w:tcW w:w="896" w:type="dxa"/>
            <w:tcBorders>
              <w:top w:val="single" w:color="000000" w:sz="4" w:space="0"/>
              <w:left w:val="single" w:color="auto" w:sz="4" w:space="0"/>
              <w:bottom w:val="single" w:color="000000" w:sz="4" w:space="0"/>
              <w:right w:val="single" w:color="auto" w:sz="4" w:space="0"/>
            </w:tcBorders>
            <w:shd w:val="clear" w:color="auto" w:fill="auto"/>
            <w:vAlign w:val="center"/>
          </w:tcPr>
          <w:p w14:paraId="7E563B2D">
            <w:pPr>
              <w:jc w:val="center"/>
              <w:rPr>
                <w:rFonts w:hint="eastAsia" w:ascii="仿宋_GB2312" w:hAnsi="仿宋_GB2312" w:eastAsia="仿宋_GB2312" w:cs="仿宋_GB2312"/>
                <w:i w:val="0"/>
                <w:iCs w:val="0"/>
                <w:color w:val="000000"/>
                <w:sz w:val="20"/>
                <w:szCs w:val="20"/>
                <w:highlight w:val="none"/>
                <w:u w:val="none"/>
              </w:rPr>
            </w:pPr>
          </w:p>
        </w:tc>
      </w:tr>
      <w:tr w14:paraId="7E37D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1110" w:type="dxa"/>
            <w:tcBorders>
              <w:top w:val="single" w:color="000000" w:sz="4" w:space="0"/>
              <w:left w:val="single" w:color="000000" w:sz="4" w:space="0"/>
              <w:bottom w:val="single" w:color="auto" w:sz="4" w:space="0"/>
              <w:right w:val="single" w:color="000000" w:sz="4" w:space="0"/>
            </w:tcBorders>
            <w:shd w:val="clear" w:color="auto" w:fill="auto"/>
            <w:vAlign w:val="center"/>
          </w:tcPr>
          <w:p w14:paraId="5682E189">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成本指标</w:t>
            </w:r>
          </w:p>
        </w:tc>
        <w:tc>
          <w:tcPr>
            <w:tcW w:w="682" w:type="dxa"/>
            <w:tcBorders>
              <w:top w:val="single" w:color="000000" w:sz="4" w:space="0"/>
              <w:left w:val="single" w:color="000000" w:sz="4" w:space="0"/>
              <w:bottom w:val="single" w:color="auto" w:sz="4" w:space="0"/>
              <w:right w:val="single" w:color="000000" w:sz="4" w:space="0"/>
            </w:tcBorders>
            <w:shd w:val="clear" w:color="auto" w:fill="auto"/>
            <w:vAlign w:val="center"/>
          </w:tcPr>
          <w:p w14:paraId="640A40A3">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经济成本指标</w:t>
            </w:r>
          </w:p>
        </w:tc>
        <w:tc>
          <w:tcPr>
            <w:tcW w:w="1217"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14:paraId="6FD70C2D">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设备采购成本成本控制数</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7AEE6">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≤35万元/台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FF2F8">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30万元/台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95E39">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100%</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0EE78">
            <w:pPr>
              <w:jc w:val="center"/>
              <w:rPr>
                <w:rFonts w:hint="eastAsia" w:ascii="仿宋_GB2312" w:hAnsi="仿宋_GB2312" w:eastAsia="仿宋_GB2312" w:cs="仿宋_GB2312"/>
                <w:i w:val="0"/>
                <w:iCs w:val="0"/>
                <w:color w:val="000000"/>
                <w:sz w:val="20"/>
                <w:szCs w:val="20"/>
                <w:highlight w:val="none"/>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0C270">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计划标准</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B0743">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79432">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按照完成比例赋分</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999E8">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工作资料</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802D5">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20</w:t>
            </w:r>
          </w:p>
        </w:tc>
        <w:tc>
          <w:tcPr>
            <w:tcW w:w="1026" w:type="dxa"/>
            <w:tcBorders>
              <w:top w:val="single" w:color="000000" w:sz="4" w:space="0"/>
              <w:left w:val="single" w:color="000000" w:sz="4" w:space="0"/>
              <w:bottom w:val="single" w:color="000000" w:sz="4" w:space="0"/>
              <w:right w:val="single" w:color="auto" w:sz="4" w:space="0"/>
            </w:tcBorders>
            <w:shd w:val="clear" w:color="auto" w:fill="auto"/>
            <w:vAlign w:val="center"/>
          </w:tcPr>
          <w:p w14:paraId="034A539F">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20</w:t>
            </w:r>
          </w:p>
        </w:tc>
        <w:tc>
          <w:tcPr>
            <w:tcW w:w="896" w:type="dxa"/>
            <w:tcBorders>
              <w:top w:val="single" w:color="000000" w:sz="4" w:space="0"/>
              <w:left w:val="single" w:color="auto" w:sz="4" w:space="0"/>
              <w:bottom w:val="single" w:color="auto" w:sz="4" w:space="0"/>
              <w:right w:val="single" w:color="auto" w:sz="4" w:space="0"/>
            </w:tcBorders>
            <w:shd w:val="clear" w:color="auto" w:fill="auto"/>
            <w:vAlign w:val="center"/>
          </w:tcPr>
          <w:p w14:paraId="187B2F27">
            <w:pPr>
              <w:jc w:val="center"/>
              <w:rPr>
                <w:rFonts w:hint="eastAsia" w:ascii="仿宋_GB2312" w:hAnsi="仿宋_GB2312" w:eastAsia="仿宋_GB2312" w:cs="仿宋_GB2312"/>
                <w:i w:val="0"/>
                <w:iCs w:val="0"/>
                <w:color w:val="000000"/>
                <w:sz w:val="20"/>
                <w:szCs w:val="20"/>
                <w:highlight w:val="none"/>
                <w:u w:val="none"/>
              </w:rPr>
            </w:pPr>
          </w:p>
        </w:tc>
      </w:tr>
      <w:tr w14:paraId="665D8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1110" w:type="dxa"/>
            <w:tcBorders>
              <w:top w:val="single" w:color="auto" w:sz="4" w:space="0"/>
              <w:left w:val="single" w:color="auto" w:sz="4" w:space="0"/>
              <w:bottom w:val="single" w:color="auto" w:sz="4" w:space="0"/>
              <w:right w:val="single" w:color="000000" w:sz="4" w:space="0"/>
            </w:tcBorders>
            <w:shd w:val="clear" w:color="auto" w:fill="auto"/>
            <w:vAlign w:val="center"/>
          </w:tcPr>
          <w:p w14:paraId="1E04E88D">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效益指标</w:t>
            </w:r>
          </w:p>
        </w:tc>
        <w:tc>
          <w:tcPr>
            <w:tcW w:w="682" w:type="dxa"/>
            <w:tcBorders>
              <w:top w:val="single" w:color="auto" w:sz="4" w:space="0"/>
              <w:left w:val="single" w:color="000000" w:sz="4" w:space="0"/>
              <w:bottom w:val="single" w:color="auto" w:sz="4" w:space="0"/>
              <w:right w:val="single" w:color="000000" w:sz="4" w:space="0"/>
            </w:tcBorders>
            <w:shd w:val="clear" w:color="auto" w:fill="auto"/>
            <w:vAlign w:val="center"/>
          </w:tcPr>
          <w:p w14:paraId="4ED637F2">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经济效益</w:t>
            </w:r>
          </w:p>
        </w:tc>
        <w:tc>
          <w:tcPr>
            <w:tcW w:w="1217" w:type="dxa"/>
            <w:gridSpan w:val="2"/>
            <w:tcBorders>
              <w:top w:val="single" w:color="auto" w:sz="4" w:space="0"/>
              <w:left w:val="single" w:color="000000" w:sz="4" w:space="0"/>
              <w:bottom w:val="single" w:color="auto" w:sz="4" w:space="0"/>
              <w:right w:val="single" w:color="auto" w:sz="4" w:space="0"/>
            </w:tcBorders>
            <w:shd w:val="clear" w:color="auto" w:fill="auto"/>
            <w:vAlign w:val="center"/>
          </w:tcPr>
          <w:p w14:paraId="715ACAE0">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设备利用率</w:t>
            </w:r>
          </w:p>
        </w:tc>
        <w:tc>
          <w:tcPr>
            <w:tcW w:w="875" w:type="dxa"/>
            <w:tcBorders>
              <w:top w:val="single" w:color="000000" w:sz="4" w:space="0"/>
              <w:left w:val="single" w:color="auto" w:sz="4" w:space="0"/>
              <w:bottom w:val="single" w:color="000000" w:sz="4" w:space="0"/>
              <w:right w:val="single" w:color="000000" w:sz="4" w:space="0"/>
            </w:tcBorders>
            <w:shd w:val="clear" w:color="auto" w:fill="auto"/>
            <w:vAlign w:val="center"/>
          </w:tcPr>
          <w:p w14:paraId="174748BF">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=100%</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B5442">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100%</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913DD">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100%</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7DF0B">
            <w:pPr>
              <w:jc w:val="center"/>
              <w:rPr>
                <w:rFonts w:hint="eastAsia" w:ascii="仿宋_GB2312" w:hAnsi="仿宋_GB2312" w:eastAsia="仿宋_GB2312" w:cs="仿宋_GB2312"/>
                <w:i w:val="0"/>
                <w:iCs w:val="0"/>
                <w:color w:val="000000"/>
                <w:sz w:val="20"/>
                <w:szCs w:val="20"/>
                <w:highlight w:val="none"/>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40F7F">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计划标准</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20D54">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19445">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按照完成比例赋分</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1C108">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工作资料</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A6F54">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20</w:t>
            </w:r>
          </w:p>
        </w:tc>
        <w:tc>
          <w:tcPr>
            <w:tcW w:w="1026" w:type="dxa"/>
            <w:tcBorders>
              <w:top w:val="single" w:color="000000" w:sz="4" w:space="0"/>
              <w:left w:val="single" w:color="000000" w:sz="4" w:space="0"/>
              <w:bottom w:val="single" w:color="000000" w:sz="4" w:space="0"/>
              <w:right w:val="single" w:color="auto" w:sz="4" w:space="0"/>
            </w:tcBorders>
            <w:shd w:val="clear" w:color="auto" w:fill="auto"/>
            <w:vAlign w:val="center"/>
          </w:tcPr>
          <w:p w14:paraId="74F8A158">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20</w:t>
            </w:r>
          </w:p>
        </w:tc>
        <w:tc>
          <w:tcPr>
            <w:tcW w:w="896" w:type="dxa"/>
            <w:tcBorders>
              <w:top w:val="single" w:color="auto" w:sz="4" w:space="0"/>
              <w:left w:val="single" w:color="auto" w:sz="4" w:space="0"/>
              <w:bottom w:val="single" w:color="000000" w:sz="4" w:space="0"/>
              <w:right w:val="single" w:color="auto" w:sz="4" w:space="0"/>
            </w:tcBorders>
            <w:shd w:val="clear" w:color="auto" w:fill="auto"/>
            <w:vAlign w:val="center"/>
          </w:tcPr>
          <w:p w14:paraId="4D7541C7">
            <w:pPr>
              <w:jc w:val="left"/>
              <w:rPr>
                <w:rFonts w:hint="eastAsia" w:ascii="仿宋_GB2312" w:hAnsi="仿宋_GB2312" w:eastAsia="仿宋_GB2312" w:cs="仿宋_GB2312"/>
                <w:i w:val="0"/>
                <w:iCs w:val="0"/>
                <w:color w:val="000000"/>
                <w:sz w:val="20"/>
                <w:szCs w:val="20"/>
                <w:highlight w:val="none"/>
                <w:u w:val="none"/>
              </w:rPr>
            </w:pPr>
          </w:p>
        </w:tc>
      </w:tr>
      <w:tr w14:paraId="707F6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1110" w:type="dxa"/>
            <w:tcBorders>
              <w:top w:val="single" w:color="auto" w:sz="4" w:space="0"/>
              <w:left w:val="single" w:color="000000" w:sz="4" w:space="0"/>
              <w:bottom w:val="single" w:color="000000" w:sz="4" w:space="0"/>
              <w:right w:val="single" w:color="000000" w:sz="4" w:space="0"/>
            </w:tcBorders>
            <w:shd w:val="clear" w:color="auto" w:fill="auto"/>
            <w:vAlign w:val="center"/>
          </w:tcPr>
          <w:p w14:paraId="1A365E3D">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满意度指标</w:t>
            </w:r>
          </w:p>
        </w:tc>
        <w:tc>
          <w:tcPr>
            <w:tcW w:w="682" w:type="dxa"/>
            <w:tcBorders>
              <w:top w:val="single" w:color="auto" w:sz="4" w:space="0"/>
              <w:left w:val="single" w:color="000000" w:sz="4" w:space="0"/>
              <w:bottom w:val="single" w:color="000000" w:sz="4" w:space="0"/>
              <w:right w:val="single" w:color="000000" w:sz="4" w:space="0"/>
            </w:tcBorders>
            <w:shd w:val="clear" w:color="auto" w:fill="auto"/>
            <w:vAlign w:val="center"/>
          </w:tcPr>
          <w:p w14:paraId="11842D49">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群众满意度</w:t>
            </w:r>
          </w:p>
        </w:tc>
        <w:tc>
          <w:tcPr>
            <w:tcW w:w="1217"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6F8ED5C8">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使用人员满意度</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791ED">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≥90%</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61969">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90%</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10D1F">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100%</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DC4E9">
            <w:pPr>
              <w:jc w:val="center"/>
              <w:rPr>
                <w:rFonts w:hint="eastAsia" w:ascii="仿宋_GB2312" w:hAnsi="仿宋_GB2312" w:eastAsia="仿宋_GB2312" w:cs="仿宋_GB2312"/>
                <w:i w:val="0"/>
                <w:iCs w:val="0"/>
                <w:color w:val="000000"/>
                <w:sz w:val="20"/>
                <w:szCs w:val="20"/>
                <w:highlight w:val="none"/>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50DAC">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计划标准</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0AF35">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E19E7">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按照满意度赋分</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E2D66">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工作资料</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9B6C5">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10</w:t>
            </w:r>
          </w:p>
        </w:tc>
        <w:tc>
          <w:tcPr>
            <w:tcW w:w="1026" w:type="dxa"/>
            <w:tcBorders>
              <w:top w:val="single" w:color="000000" w:sz="4" w:space="0"/>
              <w:left w:val="single" w:color="000000" w:sz="4" w:space="0"/>
              <w:bottom w:val="single" w:color="000000" w:sz="4" w:space="0"/>
              <w:right w:val="single" w:color="auto" w:sz="4" w:space="0"/>
            </w:tcBorders>
            <w:shd w:val="clear" w:color="auto" w:fill="auto"/>
            <w:vAlign w:val="center"/>
          </w:tcPr>
          <w:p w14:paraId="4BF872F8">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10</w:t>
            </w:r>
          </w:p>
        </w:tc>
        <w:tc>
          <w:tcPr>
            <w:tcW w:w="896" w:type="dxa"/>
            <w:tcBorders>
              <w:top w:val="single" w:color="000000" w:sz="4" w:space="0"/>
              <w:left w:val="single" w:color="auto" w:sz="4" w:space="0"/>
              <w:bottom w:val="single" w:color="000000" w:sz="4" w:space="0"/>
              <w:right w:val="single" w:color="auto" w:sz="4" w:space="0"/>
            </w:tcBorders>
            <w:shd w:val="clear" w:color="auto" w:fill="auto"/>
            <w:vAlign w:val="center"/>
          </w:tcPr>
          <w:p w14:paraId="706A2DC8">
            <w:pPr>
              <w:jc w:val="left"/>
              <w:rPr>
                <w:rFonts w:hint="eastAsia" w:ascii="仿宋_GB2312" w:hAnsi="仿宋_GB2312" w:eastAsia="仿宋_GB2312" w:cs="仿宋_GB2312"/>
                <w:i w:val="0"/>
                <w:iCs w:val="0"/>
                <w:color w:val="000000"/>
                <w:sz w:val="20"/>
                <w:szCs w:val="20"/>
                <w:highlight w:val="none"/>
                <w:u w:val="none"/>
              </w:rPr>
            </w:pPr>
          </w:p>
        </w:tc>
      </w:tr>
      <w:tr w14:paraId="1611D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2903"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2673E">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总计</w:t>
            </w:r>
          </w:p>
        </w:tc>
        <w:tc>
          <w:tcPr>
            <w:tcW w:w="1026"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22884D51">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100</w:t>
            </w:r>
          </w:p>
        </w:tc>
        <w:tc>
          <w:tcPr>
            <w:tcW w:w="896" w:type="dxa"/>
            <w:tcBorders>
              <w:top w:val="single" w:color="000000" w:sz="4" w:space="0"/>
              <w:left w:val="single" w:color="auto" w:sz="4" w:space="0"/>
              <w:bottom w:val="single" w:color="auto" w:sz="4" w:space="0"/>
              <w:right w:val="single" w:color="auto" w:sz="4" w:space="0"/>
            </w:tcBorders>
            <w:shd w:val="clear" w:color="auto" w:fill="auto"/>
            <w:noWrap/>
            <w:vAlign w:val="center"/>
          </w:tcPr>
          <w:p w14:paraId="42B6F9D7">
            <w:pPr>
              <w:jc w:val="center"/>
              <w:rPr>
                <w:rFonts w:hint="eastAsia" w:ascii="仿宋_GB2312" w:hAnsi="仿宋_GB2312" w:eastAsia="仿宋_GB2312" w:cs="仿宋_GB2312"/>
                <w:i w:val="0"/>
                <w:iCs w:val="0"/>
                <w:color w:val="000000"/>
                <w:sz w:val="22"/>
                <w:szCs w:val="22"/>
                <w:highlight w:val="none"/>
                <w:u w:val="none"/>
              </w:rPr>
            </w:pPr>
          </w:p>
        </w:tc>
      </w:tr>
    </w:tbl>
    <w:p w14:paraId="240BD06D">
      <w:pPr>
        <w:ind w:left="0" w:leftChars="0" w:firstLine="0" w:firstLineChars="0"/>
        <w:rPr>
          <w:rFonts w:hint="eastAsia" w:ascii="仿宋_GB2312" w:hAnsi="仿宋_GB2312" w:eastAsia="仿宋_GB2312" w:cs="仿宋_GB2312"/>
          <w:highlight w:val="none"/>
          <w:lang w:val="en-US" w:eastAsia="zh-CN"/>
        </w:rPr>
      </w:pPr>
    </w:p>
    <w:p w14:paraId="238A11BA">
      <w:pPr>
        <w:pStyle w:val="2"/>
        <w:ind w:left="0" w:leftChars="0" w:firstLine="0" w:firstLineChars="0"/>
        <w:rPr>
          <w:rFonts w:hint="eastAsia"/>
          <w:highlight w:val="none"/>
          <w:lang w:val="en-US" w:eastAsia="zh-CN"/>
        </w:rPr>
        <w:sectPr>
          <w:pgSz w:w="16838" w:h="11906" w:orient="landscape"/>
          <w:pgMar w:top="720" w:right="720" w:bottom="720" w:left="72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A3F7E47">
      <w:pPr>
        <w:pStyle w:val="2"/>
        <w:ind w:left="0" w:leftChars="0" w:firstLine="0" w:firstLineChars="0"/>
        <w:outlineLvl w:val="0"/>
        <w:rPr>
          <w:rFonts w:hint="eastAsia"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附件7：相关文件</w:t>
      </w:r>
    </w:p>
    <w:p w14:paraId="22FF5311">
      <w:pPr>
        <w:bidi w:val="0"/>
        <w:rPr>
          <w:rFonts w:hint="eastAsia" w:ascii="黑体" w:hAnsi="黑体" w:eastAsia="黑体" w:cs="黑体"/>
          <w:highlight w:val="none"/>
          <w:lang w:val="en-US" w:eastAsia="zh-CN"/>
        </w:rPr>
      </w:pPr>
      <w:r>
        <w:rPr>
          <w:rFonts w:hint="eastAsia" w:ascii="黑体" w:hAnsi="黑体" w:eastAsia="黑体" w:cs="黑体"/>
          <w:highlight w:val="none"/>
          <w:lang w:val="en-US" w:eastAsia="zh-CN"/>
        </w:rPr>
        <w:t>新疆维吾尔自治区人民政府关于印发《自治区推动大规模设备更新和消费品以旧换新实施方案》的通知</w:t>
      </w:r>
    </w:p>
    <w:p w14:paraId="4127DAE7">
      <w:pPr>
        <w:bidi w:val="0"/>
        <w:jc w:val="cente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新政发〔2024〕27号</w:t>
      </w:r>
    </w:p>
    <w:p w14:paraId="516674CB">
      <w:pPr>
        <w:bidi w:val="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各州、市人民政府，各行政公署，自治区人民政府各部门、各直属机构：</w:t>
      </w:r>
    </w:p>
    <w:p w14:paraId="4EA8F9BD">
      <w:pPr>
        <w:bidi w:val="0"/>
        <w:ind w:left="640" w:left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现将《自治区推动大规模设备更新和消费品以旧换新实施方案》印发给你们，请结合实际认真组织实施。</w:t>
      </w:r>
    </w:p>
    <w:p w14:paraId="343907DE">
      <w:pPr>
        <w:bidi w:val="0"/>
        <w:jc w:val="righ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新疆维吾尔自治区人民政府</w:t>
      </w:r>
    </w:p>
    <w:p w14:paraId="2B346942">
      <w:pPr>
        <w:bidi w:val="0"/>
        <w:jc w:val="righ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2024年5月28日</w:t>
      </w:r>
    </w:p>
    <w:p w14:paraId="7677D6F2">
      <w:pPr>
        <w:pStyle w:val="2"/>
        <w:ind w:left="0" w:leftChars="0" w:firstLine="0" w:firstLineChars="0"/>
        <w:jc w:val="center"/>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自治区推动大规模设备更新和消费品以旧换新实施方案</w:t>
      </w:r>
    </w:p>
    <w:p w14:paraId="7951F638">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按照党中央、国务院决策部署，为推动我区大规模设备更新和消费品以旧换新，加快形成更新换代的规模效应和内生动力，进一步激发投资和消费潜力、促进经济转型升级和城乡居民生活品质提升、推动高质量发展，制定本实施方案（新疆生产建设兵团可参照执行）。</w:t>
      </w:r>
    </w:p>
    <w:p w14:paraId="3E4C43E7">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一、总体要求</w:t>
      </w:r>
    </w:p>
    <w:p w14:paraId="75C7905C">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以习近平新时代中国特色社会主义思想为指导，深入贯彻党的二十大精神，贯彻落实中央经济工作会议和中央财经委员会第四次会议工作部署，完整准确全面贯彻新时代党的治疆方略，立足国家所需和新疆所能，坚持市场为主、政府引导，产业升级、促优汰劣，标准引领、有序提升，绿色发展、惠及民生，坚持供给端和消费端双向发力，打好政策组合拳，大力实施工业、农业、建筑和市政基础设施、交通、教育、文旅、医疗领域设备更新行动和节能降碳绿色发展行动、消费品以旧换新行动、废旧产品设备回收循环利用行动，推进先进设备加快应用、先进产能比重持续提升、高质量耐用消费品更多进入居民生活，畅通资源循环利用链条，为加快培育发展新质生产力、推动“八大产业集群”高质量发展提供有力支撑。</w:t>
      </w:r>
    </w:p>
    <w:p w14:paraId="2CE6C136">
      <w:pPr>
        <w:pStyle w:val="2"/>
        <w:ind w:left="0" w:leftChars="0" w:firstLine="640" w:firstLineChars="20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到2027年底，工业、农业、建筑、交通、教育、文旅、医疗等领域设备投资规模较2023年增长25%以上；重点行业主要用能设备能效基本达到节能水平，环保绩效达到A级水平的产能比例大幅提升，规模以上工业企业数字化研发设计工具普及率、关键工序数控化率分别超过57%、72%；报废汽车回收量较2023年增加约一倍，二手车交易量较2023年增长45%，废旧家电回收量较2023年增长30%，再生材料在资源供给中的占比进一步提升；全区再生水利用率达到50%以上；地级城市生活垃圾分类体系基本健全，生活垃圾资源化利用比例提升至60%左右。</w:t>
      </w:r>
    </w:p>
    <w:p w14:paraId="43F52918">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二、实施设备更新和消费品以旧换新，促进产业升级和挖掘消费潜力</w:t>
      </w:r>
    </w:p>
    <w:p w14:paraId="2F6141CC">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（一）工业领域设备更新行动</w:t>
      </w:r>
    </w:p>
    <w:p w14:paraId="0266ABB5">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推动重点行业设备更新和技术改造。加快淘汰落后低效设备、超期服役老旧设备，鼓励企业更新一批高技术、高效率、高可靠性的先进设备。围绕石化、化工、煤炭、电力、钢铁、有色金属、矿山、建材、机械、纺织、生物医药等行业，建立更新设备清单和重点技术改造项目库，因地制宜有序推动重点领域生产设备、用能设备、发输配电设备、安全设备等更新和技术改造。2024年投入2.5亿元左右，更新一批一体化勘察找矿设备。在石化、化工、医药、电子等重点行业，围绕设计验证、测试验证、工艺验证等中试验证和检验检测环节，更新一批先进设备，促进食品、工业产品、特种设备等领域安全检验设备更新。（自治区工业和信息化厅牵头，自治区发展改革委、市场监督管理局等有关单位，各州、市&lt;地&gt;人民政府&lt;行政公署&gt;按照职责分工负责）</w:t>
      </w:r>
    </w:p>
    <w:p w14:paraId="570506D2">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加大智能设备推广应用和企业数字化转型。以生产作业、仓储物流、质量管控等环节为重点，推动基础制造装备、工业机器人、工业控制装备、智能物流装备、传感与监测装备等通用智能装备更新，重点推进装备制造业、电子信息制造业、原材料制造业、消费品制造业开展智能化改造。积极打造一批智能矿山、数字化车间和智能工厂。进一步加快工业互联网、物联网、5G、千兆光网等新型网络基础设施规模化部署，鼓励工业企业内外网改造，鼓励大型集团企业、工业园区建立各具特色的工业互联网平台。（自治区工业和信息化厅牵头，自治区发展改革委、数字化发展局、新疆通信管理局等有关单位，各州、市&lt;地&gt;人民政府&lt;行政公署&gt;按照职责分工负责）</w:t>
      </w:r>
    </w:p>
    <w:p w14:paraId="24931311">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3.提升工业本质安全水平。积极引导和推动石化化工装置、矿山机械、有色金属电解槽等一批老旧设备开展安全改造，依法淘汰一批不符合产业政策和安全标准要求的装置设备，强制退出一批安全风险高的装置设备。妥善化解老旧装置工艺风险大、动设备故障率高、静设备易泄漏等安全风险。根据风险评估结果，改造提升一批在役装置设备。推动民爆行业加大安全技术和装备推广应用力度，提升本质安全水平。加大安全装备在重点领域推广应用，推动安全应急监测预警、消防系统与装备、安全应急智能化装备、个体防护装备等升级改造与配备。（自治区工业和信息化厅牵头，自治区应急管理厅等有关单位，各州、市&lt;地&gt;人民政府&lt;行政公署&gt;按照职责分工负责）</w:t>
      </w:r>
    </w:p>
    <w:p w14:paraId="5029B588">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（二）农业领域设备更新行动</w:t>
      </w:r>
    </w:p>
    <w:p w14:paraId="67CF57AD">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4.加快淘汰老旧农机。加大耗能高、污染重、安全性能低的老旧农机淘汰力度，加快报废更新拖拉机、联合收割机（包含采棉机）、水稻插秧机、机动植保机械、机动脱粒机、饲料粉碎机、铡草机等农业机械，支持引导提前报废使用国三及以下排放标准发动机的农机，支持农业机械装备升级，2027年自治区产粮大县和棉花主产县农机报废更新实施覆盖率达到100%。推广应用先进适用、节能环保、安全可靠的农业机械，推进老旧箱式采棉机以旧换新，由箱式机向打包机迭代更新。支持粮油、果蔬、畜产品生产全领域全过程生产机械及加工设备更新改造。（自治区农业农村厅牵头，自治区财政厅等有关单位，各州、市&lt;地&gt;人民政府&lt;行政公署&gt;按照职责分工负责）</w:t>
      </w:r>
    </w:p>
    <w:p w14:paraId="0E84ED8C">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5.扩大农机报废更新范围。统筹用好中央及自治区农机购置与应用补贴资金，推进购置补贴机具有进有出、优机优补，分类分档优化报废补贴标准。积极向中央申请扩大我区报废更新补贴机具范围，将达到报废年限但不在报废补贴政策支持范围内的播种机械、北斗辅助驾驶系统等亟需报废更新的重点机械，按现行报废补贴标准纳入政策支持范围。推广使用智能终端、应用智能作业模式，深化北斗系统在农业生产中的推广应用。（自治区农业农村厅牵头，自治区财政厅等有关单位，各州、市&lt;地&gt;人民政府&lt;行政公署&gt;按照职责分工负责）</w:t>
      </w:r>
    </w:p>
    <w:p w14:paraId="202E47C1">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（三）建筑和市政基础设施领域设备更新行动</w:t>
      </w:r>
    </w:p>
    <w:p w14:paraId="6BE9D957">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6.推动市政基础设施设备更新。结合城市更新，分类推进市政基础设施更新改造，保障城市基础设施安全、绿色、智慧运行。加快推进运行年限满30年以及国家明令禁止使用的供排水、供热管道的改造，更新影响水质达标、老旧破损的城镇供排水设备，对不符合标准规范要求，存在安全隐患的城镇居民二次供水设施开展更新改造，推动排水防涝及应急抢险设施设备更新改造。加快重点公共区域和道路视频监控等安防设备改造。推进城市道路照明设施设备智能化升级改造。更新改造技术落后、故障频繁、存在安全隐患的市容环卫设备。更新淘汰使用10年以上老化磨损严重、技术落后、安全性能低的建筑施工机械设备。（自治区住房和城乡建设厅牵头，自治区发展改革委、财政厅、公安厅、交通运输厅、市场监督管理局等有关单位，各州、市&lt;地&gt;人民政府&lt;行政公署&gt;按照职责分工负责）</w:t>
      </w:r>
    </w:p>
    <w:p w14:paraId="6A6F78E5">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7.推进城市基础设施生命线安全工程建设。稳妥推动地下管网、桥梁隧道、窨井盖等“城市部件”和城市低洼易涝区等配套加装物联智能感知设备，配套搭建监测物联网，促进现代信息技术与城市生命线工程深度融合，推动对城市基础设施运行数据的全面感知、自动采集、监测分析、预警上报。更新改造运行20年以上、超出使用寿命、检验不合格、主要部件严重受损、老化腐蚀严重、存在安全隐患且无维修价值的城市燃气设备和液化石油气钢瓶，重点解决“带病运行”燃气管网问题，加装燃气泄漏感知设备，支持配置智能巡检设备。（自治区住房和城乡建设厅牵头，自治区发展改革委、财政厅、交通运输厅、市场监督管理局等有关单位，各州、市&lt;地&gt;人民政府&lt;行政公署&gt;按照职责分工负责）</w:t>
      </w:r>
    </w:p>
    <w:p w14:paraId="27480F68">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8.推进城镇居住环境功能提升。结合城市更新行动，着力解决群众居住环境公共服务设施陈旧、无障碍通行能力不足等方面短板，积极提升现有完整社区建设品质。重点支持运行时间超过15年的住宅老旧电梯的更新改造，持续推进既有住宅加装电梯，加快更新不符合现行产品标准、安全风险高的住宅老旧电梯。因地制宜完善消防设施、适老设施、无障碍设施、停车场（库）、电动自行车及智能快件箱、文体健身设施、物业用房等配套设施。（自治区住房和城乡建设厅牵头，自治区发展改革委、财政厅、文化和旅游厅、应急管理厅、民政厅、市场监督管理局、体育局、新疆邮政管理局等有关单位，各州、市&lt;地&gt;人民政府&lt;行政公署&gt;按照职责分工负责）</w:t>
      </w:r>
    </w:p>
    <w:p w14:paraId="585E5653">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（四）交通领域设备更新行动</w:t>
      </w:r>
    </w:p>
    <w:p w14:paraId="45451B42">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9.推进新能源、清洁能源车型替代。加快推进公交车、出租车、公务车等新能源车型替代，到2027年力争更新公交车电动化比例达到55%，力争新增和更新新能源出租车（含网约车）比例达到45%以上。加快推进党政机关及公共机构推广应用新能源汽车，扩大党政机关及公共机构新能源汽车配备比例，新增及更新公务用车中新能源汽车占比不低于65%，其中“乌—昌—石”等大气污染重点防治区域不低于80%，鼓励货车、工程作业用车等领域加快新能源、清洁能源车型替代，推动民用运输机场场内用车电动化。到2027年，除应急车辆外，公共交通、环境卫生、邮政快递、城市物流、公务用车等领域基本使用新能源、清洁能源汽车。（自治区交通运输厅牵头，自治区财政厅、生态环境厅、工业和信息化厅、住房和城乡建设厅、商务厅、机关事务管理局、新疆邮政管理局、新疆机场集团等有关单位，各州、市&lt;地&gt;人民政府&lt;行政公署&gt;按照职责分工负责）</w:t>
      </w:r>
    </w:p>
    <w:p w14:paraId="0FB655BC">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10.依法依规淘汰老旧机动车。在排放标准认定、营运管理、车辆拆解、注销登记等环节协同发力，依法采取经济补偿、限制使用和加强监管执法等综合性措施，加快淘汰国三及以下排放标准营运类柴油货车，支持民用运输机场有序淘汰场内10年（含）以上汽柴油车辆。严格执行机动车强制报废标准规定和车辆安全环保检验标准，依法依规淘汰符合强制报废标准的老旧汽车及非标摩托车、电动自行车，引导车主自主淘汰符合引导报废标准的老旧机动车。严格营运车辆市场准入管理，对已在公安交管部门办理注销登记的道路运输车辆及时注销道路运输许可。加强路面巡逻管控，重点打击报废车违法上路行驶。加大监管力度，严防报废车辆回流到厂矿企业使用（自治区交通运输厅、公安厅、商务厅、财政厅、生态环境厅、工业和信息化厅、应急管理厅、新疆机场集团等有关单位，各州、市&lt;地&gt;人民政府&lt;行政公署&gt;按照职责分工负责）。加快推动铁路货场、物流园区、机场、工矿企业内部作业车辆等老旧非道路移动机械淘汰更新，支持非道路移动机械装备升级。到2025年，基本淘汰第一阶段及以下排放标准的非道路移动机械。推广应用先进适用、节能环保、安全可靠的非道路移动机械。（自治区生态环境厅、工业和信息化厅、商务厅、自然资源厅、民航新疆管理局、中铁乌鲁木齐局集团有限公司等有关单位，各州、市&lt;地&gt;人民政府&lt;行政公署&gt;按照职责分工负责）</w:t>
      </w:r>
    </w:p>
    <w:p w14:paraId="620B9DB9">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（五）教育领域设备更新行动</w:t>
      </w:r>
    </w:p>
    <w:p w14:paraId="46434CAE">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11.加快教学设备更新置换。加快学校教学仪器设备和信息化设施更新，淘汰落后设备，提高教学和实训场所装备数字化、智能化水平。依托职业院校教育办学条件达标工程，支持职业院校改善办学条件，加快产教融合实训基地建设，鼓励产教融合设备配置对标先进、适当超前。支持符合条件的高校、职业院校（含技工院校）配置感知交互、虚拟仿真等装备，建设学科、专业专用教室、教学实验室，提升通用教室多媒体教学装备水平，重点向南疆高校倾斜。（自治区教育厅牵头，自治区发展改革委、财政厅等有关单位，各州、市&lt;地&gt;人民政府&lt;行政公署&gt;按照职责分工负责）</w:t>
      </w:r>
    </w:p>
    <w:p w14:paraId="6FC6F8AA">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12.加快科研设备更新置换。支持高校及科研机构更新置换先进科研仪器设备，鼓励“双一流”高校结合学科发展水平和科研需求配置相应仪器设施，以科技前沿为导向提升科研设备高端化、尖端化水平。强化科研技术设备更新，优化科研条件资源配置，提高人才引育、学科发展、科技创新、平台建设之间的匹配度。（自治区教育厅牵头，自治区发展改革委、财政厅、科技厅等有关单位，各州、市&lt;地&gt;人民政府&lt;行政公署&gt;按照职责分工负责）</w:t>
      </w:r>
    </w:p>
    <w:p w14:paraId="4483D4F8">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（六）文旅领域设备更新行动</w:t>
      </w:r>
    </w:p>
    <w:p w14:paraId="17CC3677">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13.推动文旅设备更新提升。严格执行产品质量标准和特种设备检测标准，推进等级旅游景区、度假区、文化馆、旅游演艺场所、博物馆、重点游乐园（场）等文化旅游场所运营设备更新。对接近使用年限、达到强制报废年限或安全性能下降的文旅设备进行更新或技术改造。推进索道缆车、轨道滑道、游乐设备、演艺设备、广播设备、影视设备、出版印刷设备等升级改造，推动房车、游轮、游艇、旅游车辆等旅游装备和数字文化新业态设备更新购置。（自治区文化和旅游厅牵头，自治区发展改革委、广播电视局、新疆人民出版社等有关单位，各州、市&lt;地&gt;人民政府&lt;行政公署&gt;按照职责分工负责）</w:t>
      </w:r>
    </w:p>
    <w:p w14:paraId="314C4EF5">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14.推动文旅行业数字化智能化改造。推动建设智慧旅游景区，优化在线预约预订、流量监测监控、科学引导分流、智能导游导览等服务功能。加快文旅数字化、智慧化技术的场景开发和推广应用，综合运用大数据、人工智能、AR/VR/MR（虚拟现实/增强现实/混合现实）等数字技术，打造智慧景区、智慧康养社区、数字博物馆、数字展览馆等沉浸式数字化体验场景。鼓励景区、酒店引入服务机器人、智能终端。鼓励推动游乐设备技术创新，引导特色化、智能化、互动化、个性化、感官体验多元化升级更新。鼓励演艺场所利用交互式投影技术打造沉浸式舞台背景和特效。（自治区文化和旅游厅牵头，自治区发展改革委等有关单位，各州、市&lt;地&gt;人民政府&lt;行政公署&gt;按照职责分工负责）</w:t>
      </w:r>
    </w:p>
    <w:p w14:paraId="04D824E1">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（七）医疗领域设备更新行动</w:t>
      </w:r>
    </w:p>
    <w:p w14:paraId="2A6D0FCA">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15.开展医疗卫生机构设备和信息化设施迭代升级。加快淘汰更新超过使用年限、功能不全、性能落后、维修成本过高或无法维修、影响使用安全的医疗装备和信息化设施。以县级为重点推进医疗卫生机构装备和信息化设施迭代升级，鼓励具备条件的医疗卫生机构加快医学影像、放射治疗、远程诊疗、手术机器人等医疗设备更新换代，进一步提升医院数据互联互通、医院信息标准化建设水平。推动医疗器械检验检测设备更新。到2027年县级以下医疗卫生机构装备配置达标率达到90%以上。（自治区卫生健康委、市场监督管理局牵头，自治区相关单位，各州、市&lt;地&gt;人民政府&lt;行政公署&gt;按照职责分工负责）</w:t>
      </w:r>
    </w:p>
    <w:p w14:paraId="05A4B629">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16.推动医疗机构病房改造提升。鼓励医疗机构加强病房适老化、便利化改造，改善医院现有供电、消防等安全保障措施，提升污水、医疗废物处理能力。有序推动4人间及以上病房改造。（自治区卫生健康委牵头，自治区相关单位，各州、市&lt;地&gt;人民政府&lt;行政公署&gt;按照职责分工负责）</w:t>
      </w:r>
    </w:p>
    <w:p w14:paraId="1633A8D7">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（八）节能降碳绿色发展行动</w:t>
      </w:r>
    </w:p>
    <w:p w14:paraId="5F7C67A7">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17.大力推动化石能源消费替代。推动煤炭清洁高效利用，持续优化油气消费结构，加快优势产业与新能源耦合发展。推广绿氢多元化、规模化应用，新建炼油和炼化项目绿氢利用率达到10%并逐年提升。建立用能预算管理机制，合理控制重点用能单位化石能源消费。新建硅基、铝基等高载能项目，绿电消纳比例不低于50%，其他项目不低于30%。力争到2025年底存量项目绿电消纳比例达到新上项目比例。（自治区发展改革委牵头，自治区工业和信息化厅等有关单位，各州、市&lt;地&gt;人民政府&lt;行政公署&gt;按照职责分工负责）</w:t>
      </w:r>
    </w:p>
    <w:p w14:paraId="3C64799F">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18.扎实推进工业节能降碳提升。对标工业重点领域能效标杆水平，深入推进炼油、煤制甲醇、烧碱、水泥熟料、平板玻璃、炼铁、炼钢、电解铝、尿素、工业硅等36个领域节能降碳改造升级。加快优化钢铁产品结构，推行钢铁、焦化、烧结一体化布局，推广原油一次裂解制乙烯、合成气一步法制烯烃等先进工艺。鼓励原生与再生、冶炼与加工产业集群化发展，大力发展再生金属产业。鼓励在尾矿、废石、废渣、工业副产石膏等较为集中地区建立耦合发展绿色建材产业园区。（自治区工业和信息化厅牵头，自治区发展改革委、生态环境厅等有关单位，各州、市&lt;地&gt;人民政府&lt;行政公署&gt;按照职责分工负责）</w:t>
      </w:r>
    </w:p>
    <w:p w14:paraId="6FFB3167">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19.提升建筑领域和公共机构节能水平。加快建造方式绿色低碳转型，强化绿色设计和施工管理，稳步发展装配式建筑，鼓励推动装配式装修，加快建筑光伏一体化建设。加快推进建筑和城镇市政公用行业国家明令淘汰、污染高、能耗高、运行效率低、能效等级不满足节能标准、烟气排放不达标的设备更新。推进外墙保温材料和照明、住宅老旧供热设施等更新改造。全面开展公共机构用能产品设备能效核查，加快落后低效产品设备淘汰更新，鼓励采用能源托管等合同能源管理方式实施节能降碳项目。未采取节能措施的公共建筑改造后实现整体能效提升20%以上。（自治区住房和城乡建设厅、机关事务管理局牵头，自治区发展改革委等有关单位，各州、市&lt;地&gt;人民政府&lt;行政公署&gt;按照职责分工负责）</w:t>
      </w:r>
    </w:p>
    <w:p w14:paraId="19E07292">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20.推进交通运输节能降碳行动。优化交通运输结构，推动大宗货物“公转铁”，深入推进公铁、空陆等多式联运发展。推动运输装备低碳转型。推进低碳交通基础设施建设，开展交通基础设施绿色化提升改造，鼓励交通枢纽场站及路网沿线光伏发电设施建设，加快居民社区、停车设施、公路服务区、客货运枢纽等充电基础设施建设。（自治区交通运输厅牵头，自治区发展改革委、住房和城乡建设厅、自然资源厅、商务厅、公安厅、新疆机场集团、民航新疆管理局、中铁乌鲁木齐局集团有限公司等有关单位，各州、市&lt;地&gt;人民政府&lt;行政公署&gt;按照职责分工负责）</w:t>
      </w:r>
    </w:p>
    <w:p w14:paraId="3B7652FD">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（九）消费品以旧换新行动</w:t>
      </w:r>
    </w:p>
    <w:p w14:paraId="7DB27ABD">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21.开展汽车以旧换新。鼓励有条件的地方同步配套出台汽车、电动自行车以旧换新政策，联动汽车销售企业、金融机构开展汽车、电动自行车以旧换新。办好各类汽车展销会，引导鼓励汽车生产企业、销售企业开展促销活动。对报废高排放乘用车或符合条件的新能源乘用车并购买符合节能要求或新能源汽车的消费者给予定额补贴；鼓励有条件的金融机构自主确定自用汽车贷款最高发放比例，合理确定汽车贷款额度、期限；推广上门收车服务模式。支持汽车改装、汽车租赁、汽车赛事、房车露营、传统经典车等相关行业规范发展，打造形成一批具有影响力、带动力的汽车后市场项目。（自治区商务厅牵头，自治区发展改革委、财政厅、公安厅、工业和信息化厅、市场监督管理局、国家税务总局新疆税务局、国家金融监督管理总局新疆监管局、地方金融管理局、中国人民银行新疆分行等有关单位，各州、市&lt;地&gt;人民政府&lt;行政公署&gt;按照职责分工负责）</w:t>
      </w:r>
    </w:p>
    <w:p w14:paraId="6A47F828">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22.开展家电产品以旧换新。畅通家电（含燃气厨卫设备）更新消费链条，支持扩大绿色智能家电消费。鼓励有条件的地方对消费者购买绿色智能家电给予补贴。引导并支持家电销售企业联合生产企业、回收企业、金融机构持续开展以旧换新活动，开设线上线下家电以旧换新专区，对以旧家电换购节能家电的消费者给予让利优惠并提供上门回收、免费拆装等服务。鼓励各地对家电以旧换新给予消费补贴。鼓励金融机构加大对废旧家电回收及家电以旧换新相关企业融资支持力度。鼓励家电销售企业渠道下沉，搭建县乡分销运营网络，为乡村消费者提供上门安装、调试、维护等服务。（自治区商务厅牵头，自治区财政厅、市场监督管理局、国家金融监督管理总局新疆监管局、中国人民银行新疆分行等有关单位，各州、市&lt;地&gt;人民政府&lt;行政公署&gt;按照职责分工负责）</w:t>
      </w:r>
    </w:p>
    <w:p w14:paraId="5B859AA0">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23.推动家装消费品换新。鼓励各地结合城镇老旧小区改造，通过政府支持、企业让利等多种方式，支持居民开展旧房装修、厨卫等局部改造。培育扩大智能家居消费，鼓励有条件的地方对居民购买绿色家居产品发放消费补贴。引导相关行业协会组织开展家居消费季、家纺消费节、家装消费节等促消费活动，引导企业提供更多高品质、个性化、定制化家装产品。培育居家适老化改造经营主体，为有居家适老化改造需求的群体提供经济实用的改造方案和技术路径。（自治区商务厅牵头，自治区财政厅、住房和城乡建设厅、民政厅等有关单位，各州、市&lt;地&gt;人民政府&lt;行政公署&gt;按照职责分工负责）</w:t>
      </w:r>
    </w:p>
    <w:p w14:paraId="0F86E1C8">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（十）废旧产品设备回收循环利用行动</w:t>
      </w:r>
    </w:p>
    <w:p w14:paraId="18CAE3CA">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24.支持二手商品流通交易。支持线下实体二手市场合规运营，鼓励建设集中规范的跳蚤市场。鼓励发展“互联网+二手”模式，促进二手商品网络交易平台规范建设。继续落实二手车新政，实施二手车交易反向开票政策，取消二手车经销不合理限制，优化二手车交易登记管理，推行小型非营运载客汽车二手车交易登记“跨省通办”，通过二手车交易盘活汽车存量市场，促进汽车梯次消费。推动二手商品交易诚信体系建设，加强二手商品评估鉴定行业人才培养。大力发展二手车出口，鼓励有条件的地市建设集展示交易、维修整备、检测认证、报关出口、仓储物流、金融服务等功能于一体的二手车出口基地，培育二手车出口配套服务体系，拓展中亚及周边国家业务，简化二手车异地交易和出口登记手续，实现出口二手车转让登记、注销登记一站式办理。（自治区商务厅牵头，自治区公安厅、市场监督管理局、国家税务总局新疆税务局、乌鲁木齐海关等有关单位，各州、市&lt;地&gt;人民政府&lt;行政公署&gt;按照职责分工负责）</w:t>
      </w:r>
    </w:p>
    <w:p w14:paraId="7B2A388F">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25.推进报废机动车和农机具回收拆解。健全报废机动车回收利用体系，推动报废机动车回收拆解行业规范化发展，提高回收企业拆解能力。给予机动车报废回收及废旧物资循环利用企业土地购买优惠政策和简化相关工业用地手续办理程序。对循环再利用的主体进行政策和资金支持，对变速箱、发动机、液压件等附加值高的元器件进行循环再利用。鼓励各地组织报废农机具废弃物循环利用技术推广对接、交流培训，推动技术成果产业化应用。（自治区商务厅、农业农村厅牵头，自治区发展改革委、财政厅、自然资源厅等有关单位，各州、市&lt;地&gt;人民政府&lt;行政公署&gt;按照职责分工负责）</w:t>
      </w:r>
    </w:p>
    <w:p w14:paraId="1FB9A594">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26.推动废旧资源高水平再生利用。积极推动废钢铁、废塑料、废有色金属等再生资源的精深加工利用，探索在哈密、昌吉、乌鲁木齐、喀什等风电、光伏装机规模较大的地（州、市）率先布局退役风电、光伏设备循环利用产业基地。探索发展汽车零部件、风电光伏、航空等装备再制造业务。探索老旧农机产品（含采棉机）改造和回收再利用，促进老旧农机产品提高利用率或进入二手农机市场向第三国转移。强化风电光伏、动力电池等产品设备残余寿命评估技术研发，有序推进产品设备及关键部件梯次利用。推动新能源汽车动力电池回收利用体系建设。做大做强废旧家电回收企业。推动回收企业与家电品牌企业联动，设立废旧家电储运货场，提升家电回收规模化、集约化水平。推进废弃电器电子产品处理工作。（自治区商务厅牵头，自治区发展改革委、工业和信息化厅、生态环境厅、农业农村厅、科技厅、市场监督管理局等有关单位，各州、市&lt;地&gt;人民政府&lt;行政公署&gt;按照职责分工负责）</w:t>
      </w:r>
    </w:p>
    <w:p w14:paraId="45FF0DFE">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27.完善供销系统废旧产品设备回收网络。发挥各类供销合作社经营服务网点“一点多能、一点多用”作用，科学布局县乡村三级回收体系，依托“石榴籽”服务站、社区物业中心、乡镇客运站、基层供销合作社等各类基层服务网点，积极拓展再生资源回收业务，便利居民交售。支持改造建设一批标准化、规范化的集中分拣处理中心，提高再生资源暂存和中转能力。鼓励供销系统再生资源企业在做好废钢回收利用业务的基础上，拓展废旧家电回收、报废汽车拆解等业务。（自治区供销社牵头，自治区商务厅、发展改革委等有关单位，各州、市&lt;地&gt;人民政府&lt;行政公署&gt;按照职责分工负责）</w:t>
      </w:r>
    </w:p>
    <w:p w14:paraId="35B8D5BD">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三、保障措施</w:t>
      </w:r>
    </w:p>
    <w:p w14:paraId="01B747B1">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（一）压实工作责任</w:t>
      </w:r>
    </w:p>
    <w:p w14:paraId="5426985B">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各地各部门要推动建立政策对接、供需对接、项目对接、银企合作等工作机制，加强统筹协调，强化责任落实。自治区发展改革委要会同有关部门建立工作专班，定期调度进展，及时协调解决工作中出现的问题。各有关部门要按照职责分工做好本领域相关工作，强化部门联动，形成工作合力。各州、市（地）人民政府（行政公署）要落实主体责任，明确目标任务，细化工作举措，抓好贯彻落实。各地各部门要对实施情况开展年度进展跟踪和评估。将各牵头部门落实相关政策举措情况纳入政府督查范围，加强财政资金审计监督，提高财政资金使用效益。（自治区发展改革委牵头，自治区相关单位，各州、市&lt;地&gt;人民政府&lt;行政公署&gt;按照职责分工负责）</w:t>
      </w:r>
    </w:p>
    <w:p w14:paraId="41DA2442">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（二）推动标准提升应用实施</w:t>
      </w:r>
    </w:p>
    <w:p w14:paraId="5F4E15E4">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严格执行能效能耗、污染物排放、低碳技术、设备技术、安全生产等领域的国家标准，加强标准实施推广应用。引导新疆优势产业链主企业参与国家标准、行业标准和地方标准制（修）订。根据地方标准需求，按照急用先行的原则合理缩短周期，支持立项和审定能效能耗、污染物排放、低碳技术、设备技术、北斗规模应用、安全生产等领域自治区地方标准。推荐全国企业标准“领跑者”榜单中的新疆企业产品进入自治区政府采购目录。帮助服务相关企业、社会团体积极制定满足市场和创新需要的团体标准、企业标准，增加标准有效供给。（自治区市场监督管理局牵头，自治区相关单位，各州、市&lt;地&gt;人民政府&lt;行政公署&gt;按照职责分工负责）</w:t>
      </w:r>
    </w:p>
    <w:p w14:paraId="3A644083">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（三）加大金融财税支持力度</w:t>
      </w:r>
    </w:p>
    <w:p w14:paraId="2F785B96">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做好项目储备，积极争取中央预算内投资、超长期特别国债等国家资金支持。用好国家节能减排专项资金、服务业发展专项资金、城市交通发展奖励资金、农机购置与应用补贴等资金。统筹利用自治区各级财政资金，支持各领域设备更新，支持启动县域充换电设施补短板试点和废弃电器电子产品回收处理工作。2027年前，自治区本级财政每年发放1亿元家电以旧换新消费券，其中5000万元用于购新补贴、5000万元用于换新补贴，各地（州、市）财政配套1亿元。精准落实研发机构采购国产设备增值税退还，新能源汽车车辆购置税减免，资源综合利用增值税即征即退，环境保护、节能节水、安全生产专用设备购置抵免企业所得税等税收优惠政策。建立资源回收企业向自然人报废产品出售者“反向开票”机制。积极运用科技创新和技术改造再贷款等结构性货币政策工具，鼓励引导金融机构，推动全区制造业中长期贷款加快增长。加大对初创期、成长期的科技型中小企业，以及对重点领域数字化、智能化、高端化、绿色化技术改造和设备更新项目的金融支持力度。鼓励保险机构进一步丰富汽车保险产品和服务，合理确定新能源汽车等保险费率。（自治区财政厅、国家税务总局新疆税务局、中国人民银行新疆分行牵头，自治区发展改革委、国家金融监督管理总局新疆监管局等有关单位，各州、市&lt;地&gt;人民政府&lt;行政公署&gt;按照职责分工负责）</w:t>
      </w:r>
    </w:p>
    <w:p w14:paraId="3ADD4453">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（四）强化用地、用能等要素保障</w:t>
      </w:r>
    </w:p>
    <w:p w14:paraId="0AAAA593">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对符合国土空间规划的设备更新和消费品以旧换新项目建设用地，统筹安排建设项目土地利用计划指标，依法高效办理用地审批手续。统筹区域内生活垃圾分类收集、中转贮存及再生资源回收设施建设，按照相关规程做好土地供应。用好“原料用能和可再生能源消费不纳入能源消耗总量和强度控制”政策，新上项目工业增加值能耗强度低于所在地（州、市）和所属行业规模以上单位工业增加值能耗均值的，原则上保障全部合理用能需求；仅低于其中一项的，实行能耗（扣除绿电、原料用能后）等量替代，鼓励项目用能绿电替代。（自治区发展改革委、自然资源厅牵头，自治区相关单位，各州、市&lt;地&gt;人民政府&lt;行政公署&gt;按照职责分工负责）</w:t>
      </w:r>
    </w:p>
    <w:p w14:paraId="336AC5D6">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（五）加强人才、科技创新等支撑</w:t>
      </w:r>
    </w:p>
    <w:p w14:paraId="5853631F">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支持科研机构设备更新。组织开展重大装备的关键核心技术攻关，解决重大技术装备“卡脖子”难题，到2027年组织实施一批重大科技项目，取得一批国产替代进口的技术成果。引导企业加快设备更新关键核心技术攻关，研发一批新产品、新技术、新装备，加强首台（套）、首批次、首版次产品的推广应用，助力重点创新产品产业化。完善产业技术基础支撑服务体系，布局建设检验监测、计量测试、质量控制、可靠性评价、标准与专利服务等技术基础服务机构和平台。加强人才培养，鼓励通过产教融合、校企合作等方式，培养一批设备更新改造、再生资源深加工、国际标准制定等行业领域的专业人才，为实施设备更新、消费品以旧换新提供坚实的人才保障。（自治区科技厅、人力资源和社会保障厅牵头，自治区相关单位，各州、市&lt;地&gt;人民政府&lt;行政公署&gt;按照职责分工负责）</w:t>
      </w:r>
    </w:p>
    <w:p w14:paraId="0C591CAD">
      <w:pPr>
        <w:pStyle w:val="2"/>
        <w:ind w:left="0" w:leftChars="0" w:firstLine="64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（六）营造良好社会氛围</w:t>
      </w:r>
    </w:p>
    <w:p w14:paraId="13522F51">
      <w:pPr>
        <w:pStyle w:val="2"/>
        <w:ind w:left="0" w:leftChars="0" w:firstLine="640" w:firstLineChars="0"/>
        <w:rPr>
          <w:rFonts w:hint="eastAsia"/>
          <w:highlight w:val="none"/>
          <w:lang w:val="en-US" w:eastAsia="zh-CN"/>
        </w:rPr>
      </w:pPr>
      <w:r>
        <w:rPr>
          <w:rFonts w:hint="eastAsia" w:ascii="仿宋_GB2312" w:hAnsi="仿宋_GB2312" w:eastAsia="仿宋_GB2312" w:cs="仿宋_GB2312"/>
          <w:highlight w:val="none"/>
          <w:lang w:val="en-US" w:eastAsia="zh-CN"/>
        </w:rPr>
        <w:t>加大宣传引导力度，特别是要利用好新媒体、电商平台等有效渠道，回应社会关切，介绍相关具体工作安排和具体举措，做好先进适用技术推广、典型经验介绍、政策解读、信息咨询，引导社会各界广泛参与，让相关政策直达企业和消费者，激发企业更新设备和群众以旧换新热情，营造推动大规模设备更新和消费品以旧换新的良好社会氛围。（自治区相关单位，各州、市&lt;地&gt;人民政府&lt;行政公署&gt;按照职责分工负责。</w:t>
      </w:r>
    </w:p>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467B4">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4B8954">
                          <w:pPr>
                            <w:pStyle w:val="9"/>
                            <w:rPr>
                              <w:rFonts w:hint="eastAsia" w:ascii="仿宋_GB2312" w:hAnsi="仿宋_GB2312" w:eastAsia="仿宋_GB2312" w:cs="仿宋_GB2312"/>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  \* MERGEFORMAT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14</w:t>
                          </w:r>
                          <w:r>
                            <w:rPr>
                              <w:rFonts w:hint="eastAsia" w:ascii="仿宋_GB2312" w:hAnsi="仿宋_GB2312" w:eastAsia="仿宋_GB2312" w:cs="仿宋_GB231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04B8954">
                    <w:pPr>
                      <w:pStyle w:val="9"/>
                      <w:rPr>
                        <w:rFonts w:hint="eastAsia" w:ascii="仿宋_GB2312" w:hAnsi="仿宋_GB2312" w:eastAsia="仿宋_GB2312" w:cs="仿宋_GB2312"/>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  \* MERGEFORMAT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14</w:t>
                    </w:r>
                    <w:r>
                      <w:rPr>
                        <w:rFonts w:hint="eastAsia" w:ascii="仿宋_GB2312" w:hAnsi="仿宋_GB2312" w:eastAsia="仿宋_GB2312" w:cs="仿宋_GB2312"/>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1A1D5C"/>
    <w:multiLevelType w:val="singleLevel"/>
    <w:tmpl w:val="A01A1D5C"/>
    <w:lvl w:ilvl="0" w:tentative="0">
      <w:start w:val="1"/>
      <w:numFmt w:val="decimal"/>
      <w:suff w:val="nothing"/>
      <w:lvlText w:val="%1."/>
      <w:lvlJc w:val="left"/>
      <w:pPr>
        <w:ind w:left="0" w:firstLine="40"/>
      </w:pPr>
      <w:rPr>
        <w:rFonts w:hint="default" w:ascii="仿宋_GB2312" w:hAnsi="仿宋_GB2312" w:eastAsia="仿宋_GB2312" w:cs="仿宋_GB2312"/>
      </w:rPr>
    </w:lvl>
  </w:abstractNum>
  <w:abstractNum w:abstractNumId="1">
    <w:nsid w:val="B0324AD6"/>
    <w:multiLevelType w:val="singleLevel"/>
    <w:tmpl w:val="B0324AD6"/>
    <w:lvl w:ilvl="0" w:tentative="0">
      <w:start w:val="1"/>
      <w:numFmt w:val="decimal"/>
      <w:suff w:val="nothing"/>
      <w:lvlText w:val="%1."/>
      <w:lvlJc w:val="left"/>
      <w:pPr>
        <w:ind w:left="0" w:firstLine="40"/>
      </w:pPr>
      <w:rPr>
        <w:rFonts w:hint="default" w:ascii="仿宋_GB2312" w:hAnsi="仿宋_GB2312" w:eastAsia="仿宋_GB2312" w:cs="仿宋_GB2312"/>
      </w:rPr>
    </w:lvl>
  </w:abstractNum>
  <w:abstractNum w:abstractNumId="2">
    <w:nsid w:val="BA9DADC0"/>
    <w:multiLevelType w:val="singleLevel"/>
    <w:tmpl w:val="BA9DADC0"/>
    <w:lvl w:ilvl="0" w:tentative="0">
      <w:start w:val="1"/>
      <w:numFmt w:val="decimal"/>
      <w:suff w:val="nothing"/>
      <w:lvlText w:val="%1."/>
      <w:lvlJc w:val="left"/>
      <w:pPr>
        <w:ind w:left="0" w:firstLine="40"/>
      </w:pPr>
      <w:rPr>
        <w:rFonts w:hint="default" w:ascii="仿宋_GB2312" w:hAnsi="仿宋_GB2312" w:eastAsia="仿宋_GB2312" w:cs="仿宋_GB2312"/>
      </w:rPr>
    </w:lvl>
  </w:abstractNum>
  <w:abstractNum w:abstractNumId="3">
    <w:nsid w:val="CA96662B"/>
    <w:multiLevelType w:val="singleLevel"/>
    <w:tmpl w:val="CA96662B"/>
    <w:lvl w:ilvl="0" w:tentative="0">
      <w:start w:val="1"/>
      <w:numFmt w:val="decimal"/>
      <w:suff w:val="nothing"/>
      <w:lvlText w:val="%1."/>
      <w:lvlJc w:val="left"/>
      <w:pPr>
        <w:ind w:left="0" w:firstLine="40"/>
      </w:pPr>
      <w:rPr>
        <w:rFonts w:hint="default" w:ascii="仿宋_GB2312" w:hAnsi="仿宋_GB2312" w:eastAsia="仿宋_GB2312" w:cs="仿宋_GB2312"/>
      </w:rPr>
    </w:lvl>
  </w:abstractNum>
  <w:abstractNum w:abstractNumId="4">
    <w:nsid w:val="D3A66E2A"/>
    <w:multiLevelType w:val="singleLevel"/>
    <w:tmpl w:val="D3A66E2A"/>
    <w:lvl w:ilvl="0" w:tentative="0">
      <w:start w:val="1"/>
      <w:numFmt w:val="decimal"/>
      <w:suff w:val="nothing"/>
      <w:lvlText w:val="%1."/>
      <w:lvlJc w:val="left"/>
      <w:pPr>
        <w:ind w:left="0" w:firstLine="40"/>
      </w:pPr>
      <w:rPr>
        <w:rFonts w:hint="default" w:ascii="仿宋_GB2312" w:hAnsi="仿宋_GB2312" w:eastAsia="仿宋_GB2312" w:cs="仿宋_GB2312"/>
      </w:rPr>
    </w:lvl>
  </w:abstractNum>
  <w:abstractNum w:abstractNumId="5">
    <w:nsid w:val="F6DE2F6B"/>
    <w:multiLevelType w:val="singleLevel"/>
    <w:tmpl w:val="F6DE2F6B"/>
    <w:lvl w:ilvl="0" w:tentative="0">
      <w:start w:val="1"/>
      <w:numFmt w:val="chineseCounting"/>
      <w:suff w:val="nothing"/>
      <w:lvlText w:val="（%1）"/>
      <w:lvlJc w:val="left"/>
      <w:pPr>
        <w:ind w:left="400"/>
      </w:pPr>
      <w:rPr>
        <w:rFonts w:hint="eastAsia"/>
      </w:rPr>
    </w:lvl>
  </w:abstractNum>
  <w:abstractNum w:abstractNumId="6">
    <w:nsid w:val="FF2384AE"/>
    <w:multiLevelType w:val="singleLevel"/>
    <w:tmpl w:val="FF2384AE"/>
    <w:lvl w:ilvl="0" w:tentative="0">
      <w:start w:val="1"/>
      <w:numFmt w:val="decimal"/>
      <w:suff w:val="nothing"/>
      <w:lvlText w:val="%1."/>
      <w:lvlJc w:val="left"/>
      <w:pPr>
        <w:ind w:left="0" w:firstLine="40"/>
      </w:pPr>
      <w:rPr>
        <w:rFonts w:hint="default" w:ascii="仿宋_GB2312" w:hAnsi="仿宋_GB2312" w:eastAsia="仿宋_GB2312" w:cs="仿宋_GB2312"/>
      </w:rPr>
    </w:lvl>
  </w:abstractNum>
  <w:abstractNum w:abstractNumId="7">
    <w:nsid w:val="068A5651"/>
    <w:multiLevelType w:val="singleLevel"/>
    <w:tmpl w:val="068A5651"/>
    <w:lvl w:ilvl="0" w:tentative="0">
      <w:start w:val="1"/>
      <w:numFmt w:val="decimal"/>
      <w:suff w:val="nothing"/>
      <w:lvlText w:val="%1."/>
      <w:lvlJc w:val="left"/>
      <w:pPr>
        <w:ind w:left="0" w:firstLine="40"/>
      </w:pPr>
      <w:rPr>
        <w:rFonts w:hint="default" w:ascii="仿宋_GB2312" w:hAnsi="仿宋_GB2312" w:eastAsia="仿宋_GB2312" w:cs="仿宋_GB2312"/>
      </w:rPr>
    </w:lvl>
  </w:abstractNum>
  <w:abstractNum w:abstractNumId="8">
    <w:nsid w:val="06D32EE3"/>
    <w:multiLevelType w:val="singleLevel"/>
    <w:tmpl w:val="06D32EE3"/>
    <w:lvl w:ilvl="0" w:tentative="0">
      <w:start w:val="1"/>
      <w:numFmt w:val="decimal"/>
      <w:suff w:val="nothing"/>
      <w:lvlText w:val="%1."/>
      <w:lvlJc w:val="left"/>
      <w:pPr>
        <w:ind w:left="0" w:firstLine="40"/>
      </w:pPr>
      <w:rPr>
        <w:rFonts w:hint="default" w:ascii="仿宋_GB2312" w:hAnsi="仿宋_GB2312" w:eastAsia="仿宋_GB2312" w:cs="仿宋_GB2312"/>
      </w:rPr>
    </w:lvl>
  </w:abstractNum>
  <w:abstractNum w:abstractNumId="9">
    <w:nsid w:val="09BD221A"/>
    <w:multiLevelType w:val="singleLevel"/>
    <w:tmpl w:val="09BD221A"/>
    <w:lvl w:ilvl="0" w:tentative="0">
      <w:start w:val="1"/>
      <w:numFmt w:val="decimal"/>
      <w:suff w:val="nothing"/>
      <w:lvlText w:val="（%1）"/>
      <w:lvlJc w:val="left"/>
    </w:lvl>
  </w:abstractNum>
  <w:abstractNum w:abstractNumId="10">
    <w:nsid w:val="1259C52F"/>
    <w:multiLevelType w:val="singleLevel"/>
    <w:tmpl w:val="1259C52F"/>
    <w:lvl w:ilvl="0" w:tentative="0">
      <w:start w:val="1"/>
      <w:numFmt w:val="decimal"/>
      <w:suff w:val="nothing"/>
      <w:lvlText w:val="%1."/>
      <w:lvlJc w:val="left"/>
      <w:pPr>
        <w:ind w:left="0" w:firstLine="40"/>
      </w:pPr>
      <w:rPr>
        <w:rFonts w:hint="default" w:ascii="仿宋_GB2312" w:hAnsi="仿宋_GB2312" w:eastAsia="仿宋_GB2312" w:cs="仿宋_GB2312"/>
      </w:rPr>
    </w:lvl>
  </w:abstractNum>
  <w:abstractNum w:abstractNumId="11">
    <w:nsid w:val="164225F2"/>
    <w:multiLevelType w:val="singleLevel"/>
    <w:tmpl w:val="164225F2"/>
    <w:lvl w:ilvl="0" w:tentative="0">
      <w:start w:val="1"/>
      <w:numFmt w:val="decimal"/>
      <w:suff w:val="nothing"/>
      <w:lvlText w:val="%1."/>
      <w:lvlJc w:val="left"/>
      <w:pPr>
        <w:ind w:left="0" w:firstLine="40"/>
      </w:pPr>
      <w:rPr>
        <w:rFonts w:hint="default" w:ascii="仿宋_GB2312" w:hAnsi="仿宋_GB2312" w:eastAsia="仿宋_GB2312" w:cs="仿宋_GB2312"/>
      </w:rPr>
    </w:lvl>
  </w:abstractNum>
  <w:abstractNum w:abstractNumId="12">
    <w:nsid w:val="17D27A6F"/>
    <w:multiLevelType w:val="singleLevel"/>
    <w:tmpl w:val="17D27A6F"/>
    <w:lvl w:ilvl="0" w:tentative="0">
      <w:start w:val="1"/>
      <w:numFmt w:val="chineseCounting"/>
      <w:suff w:val="nothing"/>
      <w:lvlText w:val="（%1）"/>
      <w:lvlJc w:val="left"/>
      <w:rPr>
        <w:rFonts w:hint="eastAsia"/>
      </w:rPr>
    </w:lvl>
  </w:abstractNum>
  <w:abstractNum w:abstractNumId="13">
    <w:nsid w:val="19FA0E2D"/>
    <w:multiLevelType w:val="singleLevel"/>
    <w:tmpl w:val="19FA0E2D"/>
    <w:lvl w:ilvl="0" w:tentative="0">
      <w:start w:val="1"/>
      <w:numFmt w:val="chineseCounting"/>
      <w:suff w:val="nothing"/>
      <w:lvlText w:val="%1、"/>
      <w:lvlJc w:val="left"/>
      <w:rPr>
        <w:rFonts w:hint="eastAsia"/>
      </w:rPr>
    </w:lvl>
  </w:abstractNum>
  <w:abstractNum w:abstractNumId="14">
    <w:nsid w:val="1DF5E166"/>
    <w:multiLevelType w:val="singleLevel"/>
    <w:tmpl w:val="1DF5E166"/>
    <w:lvl w:ilvl="0" w:tentative="0">
      <w:start w:val="1"/>
      <w:numFmt w:val="decimal"/>
      <w:suff w:val="nothing"/>
      <w:lvlText w:val="（%1）"/>
      <w:lvlJc w:val="left"/>
      <w:rPr>
        <w:rFonts w:hint="default" w:ascii="仿宋_GB2312" w:hAnsi="仿宋_GB2312" w:eastAsia="仿宋_GB2312" w:cs="仿宋_GB2312"/>
      </w:rPr>
    </w:lvl>
  </w:abstractNum>
  <w:abstractNum w:abstractNumId="15">
    <w:nsid w:val="232A6572"/>
    <w:multiLevelType w:val="singleLevel"/>
    <w:tmpl w:val="232A6572"/>
    <w:lvl w:ilvl="0" w:tentative="0">
      <w:start w:val="1"/>
      <w:numFmt w:val="decimal"/>
      <w:suff w:val="nothing"/>
      <w:lvlText w:val="%1."/>
      <w:lvlJc w:val="left"/>
      <w:pPr>
        <w:ind w:left="0" w:firstLine="40"/>
      </w:pPr>
      <w:rPr>
        <w:rFonts w:hint="default" w:ascii="仿宋_GB2312" w:hAnsi="仿宋_GB2312" w:eastAsia="仿宋_GB2312" w:cs="仿宋_GB2312"/>
      </w:rPr>
    </w:lvl>
  </w:abstractNum>
  <w:abstractNum w:abstractNumId="16">
    <w:nsid w:val="28754A90"/>
    <w:multiLevelType w:val="singleLevel"/>
    <w:tmpl w:val="28754A90"/>
    <w:lvl w:ilvl="0" w:tentative="0">
      <w:start w:val="1"/>
      <w:numFmt w:val="chineseCounting"/>
      <w:suff w:val="nothing"/>
      <w:lvlText w:val="（%1）"/>
      <w:lvlJc w:val="left"/>
      <w:rPr>
        <w:rFonts w:hint="eastAsia"/>
      </w:rPr>
    </w:lvl>
  </w:abstractNum>
  <w:abstractNum w:abstractNumId="17">
    <w:nsid w:val="2EF6617E"/>
    <w:multiLevelType w:val="singleLevel"/>
    <w:tmpl w:val="2EF6617E"/>
    <w:lvl w:ilvl="0" w:tentative="0">
      <w:start w:val="1"/>
      <w:numFmt w:val="chineseCounting"/>
      <w:suff w:val="nothing"/>
      <w:lvlText w:val="（%1）"/>
      <w:lvlJc w:val="left"/>
      <w:rPr>
        <w:rFonts w:hint="eastAsia"/>
      </w:rPr>
    </w:lvl>
  </w:abstractNum>
  <w:abstractNum w:abstractNumId="18">
    <w:nsid w:val="31CBE5C5"/>
    <w:multiLevelType w:val="singleLevel"/>
    <w:tmpl w:val="31CBE5C5"/>
    <w:lvl w:ilvl="0" w:tentative="0">
      <w:start w:val="1"/>
      <w:numFmt w:val="decimal"/>
      <w:suff w:val="nothing"/>
      <w:lvlText w:val="%1."/>
      <w:lvlJc w:val="left"/>
      <w:pPr>
        <w:ind w:left="0" w:firstLine="40"/>
      </w:pPr>
    </w:lvl>
  </w:abstractNum>
  <w:abstractNum w:abstractNumId="19">
    <w:nsid w:val="350B6A61"/>
    <w:multiLevelType w:val="singleLevel"/>
    <w:tmpl w:val="350B6A61"/>
    <w:lvl w:ilvl="0" w:tentative="0">
      <w:start w:val="1"/>
      <w:numFmt w:val="chineseCounting"/>
      <w:suff w:val="nothing"/>
      <w:lvlText w:val="（%1）"/>
      <w:lvlJc w:val="left"/>
      <w:rPr>
        <w:rFonts w:hint="eastAsia"/>
      </w:rPr>
    </w:lvl>
  </w:abstractNum>
  <w:abstractNum w:abstractNumId="20">
    <w:nsid w:val="3719A997"/>
    <w:multiLevelType w:val="singleLevel"/>
    <w:tmpl w:val="3719A997"/>
    <w:lvl w:ilvl="0" w:tentative="0">
      <w:start w:val="1"/>
      <w:numFmt w:val="chineseCounting"/>
      <w:suff w:val="nothing"/>
      <w:lvlText w:val="（%1）"/>
      <w:lvlJc w:val="left"/>
      <w:rPr>
        <w:rFonts w:hint="eastAsia"/>
      </w:rPr>
    </w:lvl>
  </w:abstractNum>
  <w:abstractNum w:abstractNumId="21">
    <w:nsid w:val="3F51A045"/>
    <w:multiLevelType w:val="singleLevel"/>
    <w:tmpl w:val="3F51A045"/>
    <w:lvl w:ilvl="0" w:tentative="0">
      <w:start w:val="1"/>
      <w:numFmt w:val="chineseCounting"/>
      <w:suff w:val="nothing"/>
      <w:lvlText w:val="（%1）"/>
      <w:lvlJc w:val="left"/>
      <w:rPr>
        <w:rFonts w:hint="eastAsia"/>
      </w:rPr>
    </w:lvl>
  </w:abstractNum>
  <w:abstractNum w:abstractNumId="22">
    <w:nsid w:val="4D0014BF"/>
    <w:multiLevelType w:val="singleLevel"/>
    <w:tmpl w:val="4D0014BF"/>
    <w:lvl w:ilvl="0" w:tentative="0">
      <w:start w:val="1"/>
      <w:numFmt w:val="chineseCounting"/>
      <w:suff w:val="nothing"/>
      <w:lvlText w:val="（%1）"/>
      <w:lvlJc w:val="left"/>
      <w:rPr>
        <w:rFonts w:hint="eastAsia"/>
      </w:rPr>
    </w:lvl>
  </w:abstractNum>
  <w:abstractNum w:abstractNumId="23">
    <w:nsid w:val="585A342D"/>
    <w:multiLevelType w:val="singleLevel"/>
    <w:tmpl w:val="585A342D"/>
    <w:lvl w:ilvl="0" w:tentative="0">
      <w:start w:val="1"/>
      <w:numFmt w:val="chineseCounting"/>
      <w:suff w:val="nothing"/>
      <w:lvlText w:val="（%1）"/>
      <w:lvlJc w:val="left"/>
      <w:rPr>
        <w:rFonts w:hint="eastAsia"/>
      </w:rPr>
    </w:lvl>
  </w:abstractNum>
  <w:abstractNum w:abstractNumId="24">
    <w:nsid w:val="6E8AA7A9"/>
    <w:multiLevelType w:val="singleLevel"/>
    <w:tmpl w:val="6E8AA7A9"/>
    <w:lvl w:ilvl="0" w:tentative="0">
      <w:start w:val="1"/>
      <w:numFmt w:val="decimal"/>
      <w:suff w:val="nothing"/>
      <w:lvlText w:val="%1."/>
      <w:lvlJc w:val="left"/>
      <w:pPr>
        <w:ind w:left="0" w:firstLine="40"/>
      </w:pPr>
      <w:rPr>
        <w:rFonts w:hint="default" w:ascii="仿宋_GB2312" w:hAnsi="仿宋_GB2312" w:eastAsia="仿宋_GB2312" w:cs="仿宋_GB2312"/>
      </w:rPr>
    </w:lvl>
  </w:abstractNum>
  <w:abstractNum w:abstractNumId="25">
    <w:nsid w:val="6E9BB7DE"/>
    <w:multiLevelType w:val="singleLevel"/>
    <w:tmpl w:val="6E9BB7DE"/>
    <w:lvl w:ilvl="0" w:tentative="0">
      <w:start w:val="1"/>
      <w:numFmt w:val="chineseCounting"/>
      <w:pStyle w:val="5"/>
      <w:suff w:val="nothing"/>
      <w:lvlText w:val="（%1）"/>
      <w:lvlJc w:val="left"/>
      <w:pPr>
        <w:ind w:left="420"/>
      </w:pPr>
      <w:rPr>
        <w:rFonts w:hint="eastAsia"/>
      </w:rPr>
    </w:lvl>
  </w:abstractNum>
  <w:abstractNum w:abstractNumId="26">
    <w:nsid w:val="74BAEDEA"/>
    <w:multiLevelType w:val="singleLevel"/>
    <w:tmpl w:val="74BAEDEA"/>
    <w:lvl w:ilvl="0" w:tentative="0">
      <w:start w:val="1"/>
      <w:numFmt w:val="chineseCounting"/>
      <w:suff w:val="nothing"/>
      <w:lvlText w:val="%1、"/>
      <w:lvlJc w:val="left"/>
      <w:rPr>
        <w:rFonts w:hint="eastAsia"/>
      </w:rPr>
    </w:lvl>
  </w:abstractNum>
  <w:abstractNum w:abstractNumId="27">
    <w:nsid w:val="74DF8ECB"/>
    <w:multiLevelType w:val="singleLevel"/>
    <w:tmpl w:val="74DF8ECB"/>
    <w:lvl w:ilvl="0" w:tentative="0">
      <w:start w:val="1"/>
      <w:numFmt w:val="decimal"/>
      <w:suff w:val="nothing"/>
      <w:lvlText w:val="%1."/>
      <w:lvlJc w:val="left"/>
      <w:pPr>
        <w:ind w:left="0" w:firstLine="40"/>
      </w:pPr>
      <w:rPr>
        <w:rFonts w:hint="default" w:ascii="仿宋_GB2312" w:hAnsi="仿宋_GB2312" w:eastAsia="仿宋_GB2312" w:cs="仿宋_GB2312"/>
      </w:rPr>
    </w:lvl>
  </w:abstractNum>
  <w:abstractNum w:abstractNumId="28">
    <w:nsid w:val="7E8CB6DE"/>
    <w:multiLevelType w:val="singleLevel"/>
    <w:tmpl w:val="7E8CB6DE"/>
    <w:lvl w:ilvl="0" w:tentative="0">
      <w:start w:val="1"/>
      <w:numFmt w:val="decimal"/>
      <w:suff w:val="nothing"/>
      <w:lvlText w:val="（%1）"/>
      <w:lvlJc w:val="left"/>
      <w:rPr>
        <w:rFonts w:hint="default" w:ascii="仿宋_GB2312" w:hAnsi="仿宋_GB2312" w:eastAsia="仿宋_GB2312" w:cs="仿宋_GB2312"/>
      </w:rPr>
    </w:lvl>
  </w:abstractNum>
  <w:num w:numId="1">
    <w:abstractNumId w:val="25"/>
  </w:num>
  <w:num w:numId="2">
    <w:abstractNumId w:val="16"/>
  </w:num>
  <w:num w:numId="3">
    <w:abstractNumId w:val="17"/>
  </w:num>
  <w:num w:numId="4">
    <w:abstractNumId w:val="13"/>
  </w:num>
  <w:num w:numId="5">
    <w:abstractNumId w:val="5"/>
  </w:num>
  <w:num w:numId="6">
    <w:abstractNumId w:val="3"/>
  </w:num>
  <w:num w:numId="7">
    <w:abstractNumId w:val="4"/>
  </w:num>
  <w:num w:numId="8">
    <w:abstractNumId w:val="1"/>
  </w:num>
  <w:num w:numId="9">
    <w:abstractNumId w:val="27"/>
  </w:num>
  <w:num w:numId="10">
    <w:abstractNumId w:val="26"/>
  </w:num>
  <w:num w:numId="11">
    <w:abstractNumId w:val="23"/>
  </w:num>
  <w:num w:numId="12">
    <w:abstractNumId w:val="10"/>
  </w:num>
  <w:num w:numId="13">
    <w:abstractNumId w:val="15"/>
  </w:num>
  <w:num w:numId="14">
    <w:abstractNumId w:val="19"/>
  </w:num>
  <w:num w:numId="15">
    <w:abstractNumId w:val="18"/>
  </w:num>
  <w:num w:numId="16">
    <w:abstractNumId w:val="11"/>
  </w:num>
  <w:num w:numId="17">
    <w:abstractNumId w:val="9"/>
  </w:num>
  <w:num w:numId="18">
    <w:abstractNumId w:val="28"/>
  </w:num>
  <w:num w:numId="19">
    <w:abstractNumId w:val="8"/>
  </w:num>
  <w:num w:numId="20">
    <w:abstractNumId w:val="14"/>
  </w:num>
  <w:num w:numId="21">
    <w:abstractNumId w:val="0"/>
  </w:num>
  <w:num w:numId="22">
    <w:abstractNumId w:val="22"/>
  </w:num>
  <w:num w:numId="23">
    <w:abstractNumId w:val="21"/>
  </w:num>
  <w:num w:numId="24">
    <w:abstractNumId w:val="7"/>
  </w:num>
  <w:num w:numId="25">
    <w:abstractNumId w:val="24"/>
  </w:num>
  <w:num w:numId="26">
    <w:abstractNumId w:val="6"/>
  </w:num>
  <w:num w:numId="27">
    <w:abstractNumId w:val="2"/>
  </w:num>
  <w:num w:numId="28">
    <w:abstractNumId w:val="12"/>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64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wZDc2ZmIyYTAyMjZhOTAzMjZjMDNlYmE5ZTk4NDYifQ=="/>
  </w:docVars>
  <w:rsids>
    <w:rsidRoot w:val="0AB74A11"/>
    <w:rsid w:val="00C45C02"/>
    <w:rsid w:val="01C16F67"/>
    <w:rsid w:val="037A58C0"/>
    <w:rsid w:val="03D472D2"/>
    <w:rsid w:val="04686FBF"/>
    <w:rsid w:val="04C75671"/>
    <w:rsid w:val="05FE6017"/>
    <w:rsid w:val="065E7D45"/>
    <w:rsid w:val="08AE6343"/>
    <w:rsid w:val="08BC425E"/>
    <w:rsid w:val="093C73DB"/>
    <w:rsid w:val="093F343F"/>
    <w:rsid w:val="0AB74A11"/>
    <w:rsid w:val="0B120062"/>
    <w:rsid w:val="0C1C542F"/>
    <w:rsid w:val="0D7A76D9"/>
    <w:rsid w:val="0D9F4E72"/>
    <w:rsid w:val="12BE7183"/>
    <w:rsid w:val="1329276A"/>
    <w:rsid w:val="14691370"/>
    <w:rsid w:val="15DD31F5"/>
    <w:rsid w:val="1879527E"/>
    <w:rsid w:val="1A420223"/>
    <w:rsid w:val="1AFC4CEC"/>
    <w:rsid w:val="1BAA38CA"/>
    <w:rsid w:val="1C854934"/>
    <w:rsid w:val="1CE4012E"/>
    <w:rsid w:val="1DE55F0B"/>
    <w:rsid w:val="1F3D4F30"/>
    <w:rsid w:val="1F4257A6"/>
    <w:rsid w:val="1FB57B5F"/>
    <w:rsid w:val="20DE635C"/>
    <w:rsid w:val="22421B7E"/>
    <w:rsid w:val="24BD3AF2"/>
    <w:rsid w:val="267A70CD"/>
    <w:rsid w:val="26804A23"/>
    <w:rsid w:val="26D74917"/>
    <w:rsid w:val="277327DA"/>
    <w:rsid w:val="28DF5157"/>
    <w:rsid w:val="29673C78"/>
    <w:rsid w:val="29EF704C"/>
    <w:rsid w:val="2A0973F0"/>
    <w:rsid w:val="2C4D184B"/>
    <w:rsid w:val="2FAF0127"/>
    <w:rsid w:val="3048473A"/>
    <w:rsid w:val="31605B7D"/>
    <w:rsid w:val="319069E2"/>
    <w:rsid w:val="31AF011F"/>
    <w:rsid w:val="32FA5CB6"/>
    <w:rsid w:val="35AE6E68"/>
    <w:rsid w:val="39451549"/>
    <w:rsid w:val="3BC66F24"/>
    <w:rsid w:val="3CB97D37"/>
    <w:rsid w:val="3CFF1076"/>
    <w:rsid w:val="3D6469F5"/>
    <w:rsid w:val="3EA64DEB"/>
    <w:rsid w:val="3F0120EC"/>
    <w:rsid w:val="3FB1143A"/>
    <w:rsid w:val="40181D19"/>
    <w:rsid w:val="40896772"/>
    <w:rsid w:val="41EA2B9E"/>
    <w:rsid w:val="420725FD"/>
    <w:rsid w:val="43527085"/>
    <w:rsid w:val="45774DEB"/>
    <w:rsid w:val="467C56CF"/>
    <w:rsid w:val="47161EEC"/>
    <w:rsid w:val="47694C08"/>
    <w:rsid w:val="4A0921E1"/>
    <w:rsid w:val="4B645E12"/>
    <w:rsid w:val="4BC74904"/>
    <w:rsid w:val="4C06511B"/>
    <w:rsid w:val="4DAB32FD"/>
    <w:rsid w:val="4E5403C0"/>
    <w:rsid w:val="4E57169A"/>
    <w:rsid w:val="4F5B577E"/>
    <w:rsid w:val="50197389"/>
    <w:rsid w:val="50E47875"/>
    <w:rsid w:val="5133234D"/>
    <w:rsid w:val="520934A3"/>
    <w:rsid w:val="521A4A3E"/>
    <w:rsid w:val="533A3029"/>
    <w:rsid w:val="534D3630"/>
    <w:rsid w:val="54B41A5E"/>
    <w:rsid w:val="556A0D1A"/>
    <w:rsid w:val="55816C4F"/>
    <w:rsid w:val="55EC7C86"/>
    <w:rsid w:val="572528F9"/>
    <w:rsid w:val="57573762"/>
    <w:rsid w:val="58351605"/>
    <w:rsid w:val="58F33E14"/>
    <w:rsid w:val="5AF80325"/>
    <w:rsid w:val="5B26339A"/>
    <w:rsid w:val="5BB36706"/>
    <w:rsid w:val="5E768D81"/>
    <w:rsid w:val="5F434CC7"/>
    <w:rsid w:val="5FAB2371"/>
    <w:rsid w:val="6276797F"/>
    <w:rsid w:val="648669A1"/>
    <w:rsid w:val="64DD4813"/>
    <w:rsid w:val="65C6174B"/>
    <w:rsid w:val="67184E41"/>
    <w:rsid w:val="67B07AF8"/>
    <w:rsid w:val="68633281"/>
    <w:rsid w:val="686F5B14"/>
    <w:rsid w:val="6A386990"/>
    <w:rsid w:val="6AE14F72"/>
    <w:rsid w:val="6AE96C05"/>
    <w:rsid w:val="6E0E3C8F"/>
    <w:rsid w:val="6E1125BF"/>
    <w:rsid w:val="6E274D51"/>
    <w:rsid w:val="6E607B5A"/>
    <w:rsid w:val="6EA840E4"/>
    <w:rsid w:val="6FDEABE7"/>
    <w:rsid w:val="7076338E"/>
    <w:rsid w:val="711A1C9E"/>
    <w:rsid w:val="72D24578"/>
    <w:rsid w:val="762304F4"/>
    <w:rsid w:val="76684159"/>
    <w:rsid w:val="76D637B8"/>
    <w:rsid w:val="76D72287"/>
    <w:rsid w:val="76DF0745"/>
    <w:rsid w:val="77D756F6"/>
    <w:rsid w:val="77DE3949"/>
    <w:rsid w:val="78B33DB1"/>
    <w:rsid w:val="791A710B"/>
    <w:rsid w:val="79A069AE"/>
    <w:rsid w:val="7A067F11"/>
    <w:rsid w:val="7B2963CD"/>
    <w:rsid w:val="7B5A4125"/>
    <w:rsid w:val="7C586A42"/>
    <w:rsid w:val="7D4F7A44"/>
    <w:rsid w:val="7DC93D75"/>
    <w:rsid w:val="7E7FB43E"/>
    <w:rsid w:val="7F250E39"/>
    <w:rsid w:val="7F6E1969"/>
    <w:rsid w:val="7F8959AD"/>
    <w:rsid w:val="7FAE04C9"/>
    <w:rsid w:val="F5FBEA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480" w:firstLineChars="200"/>
      <w:jc w:val="both"/>
    </w:pPr>
    <w:rPr>
      <w:rFonts w:ascii="仿宋_GB2312" w:hAnsi="仿宋_GB2312" w:eastAsia="仿宋_GB2312" w:cs="仿宋_GB2312"/>
      <w:kern w:val="2"/>
      <w:sz w:val="32"/>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ind w:firstLine="0" w:firstLineChars="0"/>
      <w:outlineLvl w:val="0"/>
    </w:pPr>
    <w:rPr>
      <w:b/>
      <w:kern w:val="44"/>
      <w:sz w:val="44"/>
    </w:rPr>
  </w:style>
  <w:style w:type="paragraph" w:styleId="4">
    <w:name w:val="heading 2"/>
    <w:basedOn w:val="1"/>
    <w:next w:val="1"/>
    <w:unhideWhenUsed/>
    <w:qFormat/>
    <w:uiPriority w:val="0"/>
    <w:pPr>
      <w:keepNext w:val="0"/>
      <w:keepLines w:val="0"/>
      <w:widowControl/>
      <w:spacing w:before="260" w:beforeLines="0" w:beforeAutospacing="0" w:after="260" w:afterLines="0" w:afterAutospacing="0" w:line="560" w:lineRule="exact"/>
      <w:ind w:firstLine="0" w:firstLineChars="0"/>
      <w:outlineLvl w:val="1"/>
    </w:pPr>
    <w:rPr>
      <w:rFonts w:ascii="Arial" w:hAnsi="Arial" w:eastAsia="黑体"/>
    </w:rPr>
  </w:style>
  <w:style w:type="paragraph" w:styleId="5">
    <w:name w:val="heading 3"/>
    <w:basedOn w:val="1"/>
    <w:next w:val="1"/>
    <w:unhideWhenUsed/>
    <w:qFormat/>
    <w:uiPriority w:val="0"/>
    <w:pPr>
      <w:widowControl/>
      <w:numPr>
        <w:ilvl w:val="0"/>
        <w:numId w:val="1"/>
      </w:numPr>
      <w:spacing w:before="260" w:beforeLines="0" w:after="260" w:afterLines="0" w:line="440" w:lineRule="exact"/>
      <w:ind w:firstLine="240" w:firstLineChars="100"/>
      <w:outlineLvl w:val="2"/>
    </w:pPr>
    <w:rPr>
      <w:rFonts w:ascii="仿宋_GB2312" w:hAnsi="仿宋_GB2312" w:eastAsia="楷体" w:cs="仿宋_GB2312"/>
      <w:b/>
      <w:szCs w:val="28"/>
    </w:rPr>
  </w:style>
  <w:style w:type="paragraph" w:styleId="6">
    <w:name w:val="heading 4"/>
    <w:basedOn w:val="1"/>
    <w:next w:val="1"/>
    <w:unhideWhenUsed/>
    <w:qFormat/>
    <w:uiPriority w:val="0"/>
    <w:pPr>
      <w:keepNext w:val="0"/>
      <w:keepLines w:val="0"/>
      <w:widowControl/>
      <w:spacing w:before="280" w:beforeLines="0" w:beforeAutospacing="0" w:after="290" w:afterLines="0" w:afterAutospacing="0" w:line="560" w:lineRule="exact"/>
      <w:outlineLvl w:val="3"/>
    </w:pPr>
    <w:rPr>
      <w:rFonts w:ascii="仿宋_GB2312" w:hAnsi="仿宋_GB2312"/>
      <w:szCs w:val="32"/>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customStyle="1" w:styleId="2">
    <w:name w:val="TableOfAuthoring"/>
    <w:basedOn w:val="1"/>
    <w:next w:val="1"/>
    <w:qFormat/>
    <w:uiPriority w:val="0"/>
    <w:pPr>
      <w:ind w:left="420" w:leftChars="200"/>
      <w:textAlignment w:val="baseline"/>
    </w:pPr>
    <w:rPr>
      <w:rFonts w:ascii="Calibri" w:hAnsi="Calibri" w:eastAsia="宋体"/>
    </w:rPr>
  </w:style>
  <w:style w:type="paragraph" w:styleId="7">
    <w:name w:val="annotation text"/>
    <w:basedOn w:val="1"/>
    <w:qFormat/>
    <w:uiPriority w:val="0"/>
    <w:pPr>
      <w:jc w:val="left"/>
    </w:pPr>
  </w:style>
  <w:style w:type="paragraph" w:styleId="8">
    <w:name w:val="toc 3"/>
    <w:basedOn w:val="1"/>
    <w:next w:val="1"/>
    <w:qFormat/>
    <w:uiPriority w:val="0"/>
    <w:pPr>
      <w:ind w:left="840" w:leftChars="400"/>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style>
  <w:style w:type="paragraph" w:styleId="12">
    <w:name w:val="toc 4"/>
    <w:basedOn w:val="1"/>
    <w:next w:val="1"/>
    <w:qFormat/>
    <w:uiPriority w:val="0"/>
    <w:pPr>
      <w:ind w:left="1260" w:leftChars="600"/>
    </w:pPr>
  </w:style>
  <w:style w:type="paragraph" w:styleId="13">
    <w:name w:val="toc 2"/>
    <w:basedOn w:val="1"/>
    <w:next w:val="1"/>
    <w:qFormat/>
    <w:uiPriority w:val="0"/>
    <w:pPr>
      <w:ind w:left="420" w:leftChars="2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Table Text"/>
    <w:basedOn w:val="1"/>
    <w:semiHidden/>
    <w:qFormat/>
    <w:uiPriority w:val="0"/>
    <w:rPr>
      <w:rFonts w:ascii="仿宋" w:hAnsi="仿宋" w:eastAsia="仿宋" w:cs="仿宋"/>
      <w:sz w:val="20"/>
      <w:szCs w:val="20"/>
      <w:lang w:val="en-US" w:eastAsia="en-US" w:bidi="ar-SA"/>
    </w:rPr>
  </w:style>
  <w:style w:type="table" w:customStyle="1" w:styleId="18">
    <w:name w:val="Table Normal"/>
    <w:semiHidden/>
    <w:unhideWhenUsed/>
    <w:qFormat/>
    <w:uiPriority w:val="0"/>
    <w:tblPr>
      <w:tblCellMar>
        <w:top w:w="0" w:type="dxa"/>
        <w:left w:w="0" w:type="dxa"/>
        <w:bottom w:w="0" w:type="dxa"/>
        <w:right w:w="0" w:type="dxa"/>
      </w:tblCellMar>
    </w:tblPr>
  </w:style>
  <w:style w:type="paragraph" w:customStyle="1" w:styleId="19">
    <w:name w:val="表格内容"/>
    <w:basedOn w:val="1"/>
    <w:qFormat/>
    <w:uiPriority w:val="0"/>
    <w:pPr>
      <w:ind w:firstLine="0" w:firstLineChars="0"/>
    </w:pPr>
    <w:rPr>
      <w:rFonts w:ascii="Times New Roman" w:hAnsi="Times New Roman"/>
      <w:sz w:val="22"/>
      <w:szCs w:val="22"/>
    </w:rPr>
  </w:style>
  <w:style w:type="paragraph" w:customStyle="1" w:styleId="20">
    <w:name w:val="表格"/>
    <w:basedOn w:val="1"/>
    <w:next w:val="1"/>
    <w:qFormat/>
    <w:uiPriority w:val="0"/>
    <w:pPr>
      <w:spacing w:line="560" w:lineRule="exact"/>
      <w:ind w:left="0"/>
      <w:jc w:val="center"/>
      <w:outlineLvl w:val="9"/>
    </w:pPr>
    <w:rPr>
      <w:rFonts w:ascii="Times New Roman" w:hAnsi="Times New Roman" w:cs="微软雅黑"/>
      <w:spacing w:val="11"/>
      <w:sz w:val="2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102</Pages>
  <Words>38249</Words>
  <Characters>40473</Characters>
  <Lines>0</Lines>
  <Paragraphs>0</Paragraphs>
  <TotalTime>13</TotalTime>
  <ScaleCrop>false</ScaleCrop>
  <LinksUpToDate>false</LinksUpToDate>
  <CharactersWithSpaces>41824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2025-07-28T16:19:00Z</dcterms:created>
  <dc:creator>李</dc:creator>
  <cp:lastModifiedBy>mardan</cp:lastModifiedBy>
  <dcterms:modified xsi:type="dcterms:W3CDTF">2025-09-16T04:01:42Z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3E178B79B3C34CA8AA7FB1504393311C</vt:lpwstr>
  </property>
  <property fmtid="{D5CDD505-2E9C-101B-9397-08002B2CF9AE}" pid="4" name="KSOTemplateDocerSaveRecord">
    <vt:lpwstr>eyJoZGlkIjoiZjJjZmFkYmQwZTNhMDYzYWI0M2Y0M2ViM2M0YmM1M2UiLCJ1c2VySWQiOiI1NTgxNTY0ODcifQ==</vt:lpwstr>
  </property>
</Properties>
</file>