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C7BA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</w:pPr>
      <w:r>
        <w:rPr>
          <w:rFonts w:ascii="方正小标宋简体" w:hAnsi="方正小标宋简体" w:eastAsia="方正小标宋简体"/>
          <w:b w:val="0"/>
          <w:color w:val="000000"/>
          <w:sz w:val="44"/>
        </w:rPr>
        <w:t>储能项目竞争性选商综合评分表</w:t>
      </w:r>
    </w:p>
    <w:p w14:paraId="7FC67DC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440" w:firstLineChars="200"/>
        <w:jc w:val="both"/>
        <w:textAlignment w:val="auto"/>
      </w:pPr>
    </w:p>
    <w:p w14:paraId="43DE5A9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为规范储能项目竞争性选商工作，坚持公开、公平、公正和竞争择优，现将储能项目竞争性选商综合评分标准予以公示，接受社会监督。本评分表作为招商招募公告的附件对外公开。</w:t>
      </w:r>
    </w:p>
    <w:p w14:paraId="649ABE4F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黑体" w:hAnsi="黑体" w:eastAsia="黑体"/>
          <w:b w:val="0"/>
          <w:color w:val="000000"/>
          <w:sz w:val="32"/>
        </w:rPr>
        <w:t>一、项目准入硬性资格条件</w:t>
      </w:r>
    </w:p>
    <w:p w14:paraId="594B51D0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参加遴选企业须同时满足以下全部条件，任意一条不满足的，直接取消参选资格：</w:t>
      </w:r>
    </w:p>
    <w:p w14:paraId="42CF5E6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/>
          <w:b w:val="0"/>
          <w:color w:val="000000"/>
          <w:sz w:val="32"/>
          <w:lang w:eastAsia="zh-CN"/>
        </w:rPr>
        <w:t>１</w:t>
      </w:r>
      <w:r>
        <w:rPr>
          <w:rFonts w:ascii="仿宋_GB2312" w:hAnsi="仿宋_GB2312" w:eastAsia="仿宋_GB2312"/>
          <w:b w:val="0"/>
          <w:color w:val="000000"/>
          <w:sz w:val="32"/>
        </w:rPr>
        <w:t>.参与企业为独立法人，无失信被执行人记录、无重大税收违法记录、无环保重大处罚、无安全生产重大事故记录。</w:t>
      </w:r>
    </w:p>
    <w:p w14:paraId="7D312C3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/>
          <w:b w:val="0"/>
          <w:color w:val="000000"/>
          <w:sz w:val="32"/>
          <w:lang w:eastAsia="zh-CN"/>
        </w:rPr>
        <w:t>２</w:t>
      </w:r>
      <w:r>
        <w:rPr>
          <w:rFonts w:ascii="仿宋_GB2312" w:hAnsi="仿宋_GB2312" w:eastAsia="仿宋_GB2312"/>
          <w:b w:val="0"/>
          <w:color w:val="000000"/>
          <w:sz w:val="32"/>
        </w:rPr>
        <w:t>.企业具备新能源或储能项目投资建设运营能力，无空壳公司、挂靠、转借资质情形。</w:t>
      </w:r>
    </w:p>
    <w:p w14:paraId="796BC4A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</w:pPr>
      <w:r>
        <w:rPr>
          <w:rFonts w:hint="eastAsia" w:ascii="仿宋_GB2312" w:hAnsi="仿宋_GB2312" w:eastAsia="仿宋_GB2312"/>
          <w:b w:val="0"/>
          <w:color w:val="000000"/>
          <w:sz w:val="32"/>
          <w:lang w:eastAsia="zh-CN"/>
        </w:rPr>
        <w:t>　　３</w:t>
      </w:r>
      <w:r>
        <w:rPr>
          <w:rFonts w:ascii="仿宋_GB2312" w:hAnsi="仿宋_GB2312" w:eastAsia="仿宋_GB2312"/>
          <w:b w:val="0"/>
          <w:color w:val="000000"/>
          <w:sz w:val="32"/>
        </w:rPr>
        <w:t>.承诺严格按照国家及自治区储能并网、安全、消防、电力调度相关规范建设，不擅自变更技术路线、建设规模、并网时序。</w:t>
      </w:r>
    </w:p>
    <w:p w14:paraId="71B2376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/>
          <w:b w:val="0"/>
          <w:color w:val="000000"/>
          <w:sz w:val="32"/>
          <w:lang w:eastAsia="zh-CN"/>
        </w:rPr>
        <w:t>４</w:t>
      </w:r>
      <w:r>
        <w:rPr>
          <w:rFonts w:ascii="仿宋_GB2312" w:hAnsi="仿宋_GB2312" w:eastAsia="仿宋_GB2312"/>
          <w:b w:val="0"/>
          <w:color w:val="000000"/>
          <w:sz w:val="32"/>
        </w:rPr>
        <w:t>.近三年无恶意放弃新能源/储能项目落地、无项目烂尾、无违约退出政府合作项目记录。</w:t>
      </w:r>
    </w:p>
    <w:p w14:paraId="3B61C433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ascii="黑体" w:hAnsi="黑体" w:eastAsia="黑体"/>
          <w:b w:val="0"/>
          <w:color w:val="000000"/>
          <w:sz w:val="32"/>
        </w:rPr>
      </w:pPr>
      <w:r>
        <w:rPr>
          <w:rFonts w:ascii="黑体" w:hAnsi="黑体" w:eastAsia="黑体"/>
          <w:b w:val="0"/>
          <w:color w:val="000000"/>
          <w:sz w:val="32"/>
        </w:rPr>
        <w:t>二、综合评分标准</w:t>
      </w:r>
    </w:p>
    <w:p w14:paraId="731B988A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综合评分满分100分</w:t>
      </w:r>
      <w:r>
        <w:rPr>
          <w:rFonts w:hint="eastAsia" w:ascii="仿宋_GB2312" w:hAnsi="仿宋_GB2312" w:eastAsia="仿宋_GB2312"/>
          <w:b w:val="0"/>
          <w:color w:val="000000"/>
          <w:sz w:val="28"/>
          <w:szCs w:val="28"/>
          <w:lang w:eastAsia="zh-CN"/>
        </w:rPr>
        <w:t>，</w:t>
      </w:r>
      <w:r>
        <w:rPr>
          <w:rFonts w:ascii="仿宋_GB2312" w:hAnsi="仿宋_GB2312" w:eastAsia="仿宋_GB2312"/>
          <w:b w:val="0"/>
          <w:color w:val="000000"/>
          <w:sz w:val="28"/>
          <w:szCs w:val="28"/>
        </w:rPr>
        <w:t>评审人员依据企业申报材料及佐证材料逐项评分。</w:t>
      </w:r>
    </w:p>
    <w:tbl>
      <w:tblPr>
        <w:tblStyle w:val="33"/>
        <w:tblW w:w="873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701"/>
        <w:gridCol w:w="4536"/>
        <w:gridCol w:w="907"/>
        <w:gridCol w:w="907"/>
      </w:tblGrid>
      <w:tr w14:paraId="6D724B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0F871A6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</w:pPr>
            <w:r>
              <w:rPr>
                <w:rFonts w:ascii="黑体" w:hAnsi="黑体" w:eastAsia="黑体"/>
                <w:b w:val="0"/>
                <w:color w:val="000000"/>
                <w:sz w:val="21"/>
              </w:rPr>
              <w:t>序号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02B0D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</w:pPr>
            <w:r>
              <w:rPr>
                <w:rFonts w:ascii="黑体" w:hAnsi="黑体" w:eastAsia="黑体"/>
                <w:b w:val="0"/>
                <w:color w:val="000000"/>
                <w:sz w:val="21"/>
              </w:rPr>
              <w:t>评分项目</w:t>
            </w:r>
          </w:p>
        </w:tc>
        <w:tc>
          <w:tcPr>
            <w:tcW w:w="4536" w:type="dxa"/>
            <w:shd w:val="clear" w:color="auto" w:fill="D9D9D9"/>
            <w:vAlign w:val="center"/>
          </w:tcPr>
          <w:p w14:paraId="2FA6335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</w:pPr>
            <w:r>
              <w:rPr>
                <w:rFonts w:ascii="黑体" w:hAnsi="黑体" w:eastAsia="黑体"/>
                <w:b w:val="0"/>
                <w:color w:val="000000"/>
                <w:sz w:val="21"/>
              </w:rPr>
              <w:t>评分标准及要求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3E987B9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</w:pPr>
            <w:r>
              <w:rPr>
                <w:rFonts w:ascii="黑体" w:hAnsi="黑体" w:eastAsia="黑体"/>
                <w:b w:val="0"/>
                <w:color w:val="000000"/>
                <w:sz w:val="21"/>
              </w:rPr>
              <w:t>分值</w:t>
            </w:r>
            <w:bookmarkStart w:id="0" w:name="_GoBack"/>
            <w:bookmarkEnd w:id="0"/>
          </w:p>
        </w:tc>
        <w:tc>
          <w:tcPr>
            <w:tcW w:w="907" w:type="dxa"/>
            <w:shd w:val="clear" w:color="auto" w:fill="D9D9D9"/>
            <w:vAlign w:val="center"/>
          </w:tcPr>
          <w:p w14:paraId="2766E6F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</w:pPr>
            <w:r>
              <w:rPr>
                <w:rFonts w:ascii="黑体" w:hAnsi="黑体" w:eastAsia="黑体"/>
                <w:b w:val="0"/>
                <w:color w:val="000000"/>
                <w:sz w:val="21"/>
              </w:rPr>
              <w:t>得分</w:t>
            </w:r>
          </w:p>
        </w:tc>
      </w:tr>
      <w:tr w14:paraId="7A32E1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gridSpan w:val="5"/>
            <w:vAlign w:val="center"/>
          </w:tcPr>
          <w:p w14:paraId="5CAF054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（一）企业综合实力（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分）</w:t>
            </w:r>
          </w:p>
        </w:tc>
      </w:tr>
      <w:tr w14:paraId="1667CD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vAlign w:val="center"/>
          </w:tcPr>
          <w:p w14:paraId="568A6AA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1B371DC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企业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lang w:val="en-US" w:eastAsia="zh-CN"/>
              </w:rPr>
              <w:t>或母公司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资产及资本实力</w:t>
            </w:r>
          </w:p>
        </w:tc>
        <w:tc>
          <w:tcPr>
            <w:tcW w:w="4536" w:type="dxa"/>
            <w:vAlign w:val="center"/>
          </w:tcPr>
          <w:p w14:paraId="3556B06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实缴资本3亿元（含）以上：10分</w:t>
            </w:r>
          </w:p>
        </w:tc>
        <w:tc>
          <w:tcPr>
            <w:tcW w:w="907" w:type="dxa"/>
            <w:vMerge w:val="restart"/>
            <w:vAlign w:val="center"/>
          </w:tcPr>
          <w:p w14:paraId="729F11E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7" w:type="dxa"/>
            <w:vMerge w:val="restart"/>
            <w:vAlign w:val="center"/>
          </w:tcPr>
          <w:p w14:paraId="2B502D4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762E45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43669C0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57F3B32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E450CF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实缴资本2亿元（含）至3亿元（不含）：7分</w:t>
            </w:r>
          </w:p>
        </w:tc>
        <w:tc>
          <w:tcPr>
            <w:tcW w:w="907" w:type="dxa"/>
            <w:vMerge w:val="continue"/>
          </w:tcPr>
          <w:p w14:paraId="5041E47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364DD5C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1BE00E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64B9F35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077D57E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BF068B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实缴资本1亿元（含）至2亿元（不含）：4分</w:t>
            </w:r>
          </w:p>
        </w:tc>
        <w:tc>
          <w:tcPr>
            <w:tcW w:w="907" w:type="dxa"/>
            <w:vMerge w:val="continue"/>
          </w:tcPr>
          <w:p w14:paraId="768C4A8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06E0684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2A0D4B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4BDDE54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402BD9B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5C73D0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实缴资本1亿元以下：0分</w:t>
            </w:r>
          </w:p>
        </w:tc>
        <w:tc>
          <w:tcPr>
            <w:tcW w:w="907" w:type="dxa"/>
            <w:vMerge w:val="continue"/>
          </w:tcPr>
          <w:p w14:paraId="31A8AF9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368BFE9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4F3D97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61B4D21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1DCE4B9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3A6097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佐证材料：验资报告、企查查公示截图、最新财务报表。</w:t>
            </w:r>
          </w:p>
        </w:tc>
        <w:tc>
          <w:tcPr>
            <w:tcW w:w="907" w:type="dxa"/>
            <w:vMerge w:val="continue"/>
          </w:tcPr>
          <w:p w14:paraId="3AA2E45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328947F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0965A8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vAlign w:val="center"/>
          </w:tcPr>
          <w:p w14:paraId="3E7F0CC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652F194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储能项目落地业绩</w:t>
            </w:r>
          </w:p>
        </w:tc>
        <w:tc>
          <w:tcPr>
            <w:tcW w:w="4536" w:type="dxa"/>
            <w:vAlign w:val="center"/>
          </w:tcPr>
          <w:p w14:paraId="7BDF088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近3年已投运或取得电力质监部门下发的并网许可等独立储能/共享储能项目累计规模：</w:t>
            </w:r>
          </w:p>
        </w:tc>
        <w:tc>
          <w:tcPr>
            <w:tcW w:w="907" w:type="dxa"/>
            <w:vMerge w:val="restart"/>
            <w:vAlign w:val="center"/>
          </w:tcPr>
          <w:p w14:paraId="2EFED5E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07" w:type="dxa"/>
            <w:vMerge w:val="restart"/>
            <w:vAlign w:val="center"/>
          </w:tcPr>
          <w:p w14:paraId="61C40CC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1CB935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3C05386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74665F1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6125D09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累计6000MWh（含）及以上：30分</w:t>
            </w:r>
          </w:p>
        </w:tc>
        <w:tc>
          <w:tcPr>
            <w:tcW w:w="907" w:type="dxa"/>
            <w:vMerge w:val="continue"/>
          </w:tcPr>
          <w:p w14:paraId="60C6452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3EDD74F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02DD26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5C85AB9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5415736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41D5E4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累计2000MWh（含）至4000MWh（不含）：15分</w:t>
            </w:r>
          </w:p>
        </w:tc>
        <w:tc>
          <w:tcPr>
            <w:tcW w:w="907" w:type="dxa"/>
            <w:vMerge w:val="continue"/>
          </w:tcPr>
          <w:p w14:paraId="066BF1F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659F404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6C1AF6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00F9688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27C0062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CC5C3D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累计1000MWh（含）至2000MWh（不含）：10分</w:t>
            </w:r>
          </w:p>
        </w:tc>
        <w:tc>
          <w:tcPr>
            <w:tcW w:w="907" w:type="dxa"/>
            <w:vMerge w:val="continue"/>
          </w:tcPr>
          <w:p w14:paraId="20B7359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0D5B9A5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5CF37D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19AE1F8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2C054ED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0CF8161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累计400MWh（含）至1000MWh（不含）：5分</w:t>
            </w:r>
          </w:p>
        </w:tc>
        <w:tc>
          <w:tcPr>
            <w:tcW w:w="907" w:type="dxa"/>
            <w:vMerge w:val="continue"/>
          </w:tcPr>
          <w:p w14:paraId="237F47F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2D24D13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486FA9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141385E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509E1C7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60F219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无储能业绩：0分</w:t>
            </w:r>
          </w:p>
        </w:tc>
        <w:tc>
          <w:tcPr>
            <w:tcW w:w="907" w:type="dxa"/>
            <w:vMerge w:val="continue"/>
          </w:tcPr>
          <w:p w14:paraId="3998E75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48F7674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5D4DB6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764734F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321BF58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142900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佐证材料：项目备案证、并网协议或并网调度协议、施工合同。</w:t>
            </w:r>
          </w:p>
        </w:tc>
        <w:tc>
          <w:tcPr>
            <w:tcW w:w="907" w:type="dxa"/>
            <w:vMerge w:val="continue"/>
          </w:tcPr>
          <w:p w14:paraId="3935DCD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6FAE521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076C4C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gridSpan w:val="5"/>
            <w:vAlign w:val="center"/>
          </w:tcPr>
          <w:p w14:paraId="160CFF4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（二）项目安全方案、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lang w:val="en-US" w:eastAsia="zh-CN"/>
              </w:rPr>
              <w:t>用地及接入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lang w:eastAsia="zh-CN"/>
              </w:rPr>
              <w:t>３５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分）</w:t>
            </w:r>
          </w:p>
        </w:tc>
      </w:tr>
      <w:tr w14:paraId="5DE481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vAlign w:val="center"/>
          </w:tcPr>
          <w:p w14:paraId="3F37E44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14:paraId="259B6EB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项目取得前期手续</w:t>
            </w:r>
          </w:p>
        </w:tc>
        <w:tc>
          <w:tcPr>
            <w:tcW w:w="4536" w:type="dxa"/>
            <w:vAlign w:val="center"/>
          </w:tcPr>
          <w:p w14:paraId="6198B59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项目取得用地选址相关意见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国网公司原则接入意见：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eastAsia="zh-CN"/>
              </w:rPr>
              <w:t>２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0分</w:t>
            </w:r>
          </w:p>
        </w:tc>
        <w:tc>
          <w:tcPr>
            <w:tcW w:w="907" w:type="dxa"/>
            <w:vMerge w:val="restart"/>
            <w:vAlign w:val="center"/>
          </w:tcPr>
          <w:p w14:paraId="2C293AD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907" w:type="dxa"/>
            <w:vMerge w:val="restart"/>
            <w:vAlign w:val="center"/>
          </w:tcPr>
          <w:p w14:paraId="5D70EB0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0C7E8F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1AE8011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28C91E0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70F8F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项目取得用地选址相关意见：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907" w:type="dxa"/>
            <w:vMerge w:val="continue"/>
          </w:tcPr>
          <w:p w14:paraId="07DFD83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</w:p>
        </w:tc>
        <w:tc>
          <w:tcPr>
            <w:tcW w:w="907" w:type="dxa"/>
            <w:vMerge w:val="continue"/>
          </w:tcPr>
          <w:p w14:paraId="7D7AEE0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55ED70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7D48D43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7B7BA31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279A44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项目未取得任何前期手续：0分</w:t>
            </w:r>
          </w:p>
        </w:tc>
        <w:tc>
          <w:tcPr>
            <w:tcW w:w="907" w:type="dxa"/>
            <w:vMerge w:val="continue"/>
          </w:tcPr>
          <w:p w14:paraId="5043398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79422EC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7E9163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5F1BC4D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1C2E18A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6CD051E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注：取得用地选址意见和国网公司原则接入意见的，可累计计分，合计最高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分。</w:t>
            </w:r>
          </w:p>
        </w:tc>
        <w:tc>
          <w:tcPr>
            <w:tcW w:w="907" w:type="dxa"/>
            <w:vMerge w:val="continue"/>
          </w:tcPr>
          <w:p w14:paraId="501FB01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3716717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6B0E25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vAlign w:val="center"/>
          </w:tcPr>
          <w:p w14:paraId="54FC8B8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14:paraId="0E6A793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项目建设工期、并网时效承诺</w:t>
            </w:r>
          </w:p>
        </w:tc>
        <w:tc>
          <w:tcPr>
            <w:tcW w:w="4536" w:type="dxa"/>
            <w:vAlign w:val="center"/>
          </w:tcPr>
          <w:p w14:paraId="189C8DA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承诺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eastAsia="zh-CN"/>
              </w:rPr>
              <w:t>３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个月内开工、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eastAsia="zh-CN"/>
              </w:rPr>
              <w:t>８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个月内全容量并网：10分</w:t>
            </w:r>
          </w:p>
        </w:tc>
        <w:tc>
          <w:tcPr>
            <w:tcW w:w="907" w:type="dxa"/>
            <w:vMerge w:val="restart"/>
            <w:vAlign w:val="center"/>
          </w:tcPr>
          <w:p w14:paraId="2FA43E5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907" w:type="dxa"/>
            <w:vMerge w:val="restart"/>
            <w:vAlign w:val="center"/>
          </w:tcPr>
          <w:p w14:paraId="0BA6CB8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1E3F06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7DDBB17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19D899E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red"/>
              </w:rPr>
            </w:pPr>
          </w:p>
        </w:tc>
        <w:tc>
          <w:tcPr>
            <w:tcW w:w="4536" w:type="dxa"/>
            <w:vAlign w:val="center"/>
          </w:tcPr>
          <w:p w14:paraId="4444687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承诺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eastAsia="zh-CN"/>
              </w:rPr>
              <w:t>６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个月内开工、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eastAsia="zh-CN"/>
              </w:rPr>
              <w:t>１２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个月内并网：7分</w:t>
            </w:r>
          </w:p>
        </w:tc>
        <w:tc>
          <w:tcPr>
            <w:tcW w:w="907" w:type="dxa"/>
            <w:vMerge w:val="continue"/>
          </w:tcPr>
          <w:p w14:paraId="24B34FC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</w:p>
        </w:tc>
        <w:tc>
          <w:tcPr>
            <w:tcW w:w="907" w:type="dxa"/>
            <w:vMerge w:val="continue"/>
          </w:tcPr>
          <w:p w14:paraId="735FA34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34B01B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0685946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2CADDB5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red"/>
              </w:rPr>
            </w:pPr>
          </w:p>
        </w:tc>
        <w:tc>
          <w:tcPr>
            <w:tcW w:w="4536" w:type="dxa"/>
            <w:vAlign w:val="center"/>
          </w:tcPr>
          <w:p w14:paraId="0DC25D7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承诺10个月内开工、18个月内并网：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eastAsia="zh-CN"/>
              </w:rPr>
              <w:t>１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907" w:type="dxa"/>
            <w:vMerge w:val="continue"/>
          </w:tcPr>
          <w:p w14:paraId="48D99B1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</w:p>
        </w:tc>
        <w:tc>
          <w:tcPr>
            <w:tcW w:w="907" w:type="dxa"/>
            <w:vMerge w:val="continue"/>
          </w:tcPr>
          <w:p w14:paraId="550D82A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6DA5FA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5DDDBE7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506B45B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red"/>
              </w:rPr>
            </w:pPr>
          </w:p>
        </w:tc>
        <w:tc>
          <w:tcPr>
            <w:tcW w:w="4536" w:type="dxa"/>
            <w:vAlign w:val="center"/>
          </w:tcPr>
          <w:p w14:paraId="5189DB0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超过18个月并网或无明确工期：0分</w:t>
            </w:r>
          </w:p>
        </w:tc>
        <w:tc>
          <w:tcPr>
            <w:tcW w:w="907" w:type="dxa"/>
            <w:vMerge w:val="continue"/>
          </w:tcPr>
          <w:p w14:paraId="1381529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</w:p>
        </w:tc>
        <w:tc>
          <w:tcPr>
            <w:tcW w:w="907" w:type="dxa"/>
            <w:vMerge w:val="continue"/>
          </w:tcPr>
          <w:p w14:paraId="3A0C704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33FC6B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vAlign w:val="center"/>
          </w:tcPr>
          <w:p w14:paraId="56CAAD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14:paraId="32DFC3C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安全生产、消防、环保、应急处置专项方案</w:t>
            </w:r>
          </w:p>
        </w:tc>
        <w:tc>
          <w:tcPr>
            <w:tcW w:w="4536" w:type="dxa"/>
            <w:vAlign w:val="center"/>
          </w:tcPr>
          <w:p w14:paraId="4627495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制度完整、分区消防、气体灭火、热失控监测、应急预案齐全：4—5分</w:t>
            </w:r>
          </w:p>
        </w:tc>
        <w:tc>
          <w:tcPr>
            <w:tcW w:w="907" w:type="dxa"/>
            <w:vMerge w:val="restart"/>
            <w:vAlign w:val="center"/>
          </w:tcPr>
          <w:p w14:paraId="2684F0F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7" w:type="dxa"/>
            <w:vMerge w:val="restart"/>
            <w:vAlign w:val="center"/>
          </w:tcPr>
          <w:p w14:paraId="2533CF8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7E4791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7CDE9EC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764143D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B63C9D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方案基本齐全：2—3分</w:t>
            </w:r>
          </w:p>
        </w:tc>
        <w:tc>
          <w:tcPr>
            <w:tcW w:w="907" w:type="dxa"/>
            <w:vMerge w:val="continue"/>
          </w:tcPr>
          <w:p w14:paraId="43D60E5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30C5C61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244DE6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6753F96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4341C20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7D7C892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内容简单、缺项较多：1分</w:t>
            </w:r>
          </w:p>
        </w:tc>
        <w:tc>
          <w:tcPr>
            <w:tcW w:w="907" w:type="dxa"/>
            <w:vMerge w:val="continue"/>
          </w:tcPr>
          <w:p w14:paraId="27A68FA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7C11BC9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5EE209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13A488D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39A55BD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3968827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无专项安全方案：0分</w:t>
            </w:r>
          </w:p>
        </w:tc>
        <w:tc>
          <w:tcPr>
            <w:tcW w:w="907" w:type="dxa"/>
            <w:vMerge w:val="continue"/>
          </w:tcPr>
          <w:p w14:paraId="5E346E6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33F9EEF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631C2E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gridSpan w:val="5"/>
            <w:vAlign w:val="center"/>
          </w:tcPr>
          <w:p w14:paraId="7AA4E49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（三）企业资金保障（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分）</w:t>
            </w:r>
          </w:p>
        </w:tc>
      </w:tr>
      <w:tr w14:paraId="27138D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vAlign w:val="center"/>
          </w:tcPr>
          <w:p w14:paraId="77B9274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14:paraId="6EE1C45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项目自有资金投入比例</w:t>
            </w:r>
          </w:p>
        </w:tc>
        <w:tc>
          <w:tcPr>
            <w:tcW w:w="4536" w:type="dxa"/>
            <w:vAlign w:val="center"/>
          </w:tcPr>
          <w:p w14:paraId="7DF4CD3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自有资金比例30%（含）以上：15分</w:t>
            </w:r>
          </w:p>
        </w:tc>
        <w:tc>
          <w:tcPr>
            <w:tcW w:w="907" w:type="dxa"/>
            <w:vMerge w:val="restart"/>
            <w:vAlign w:val="center"/>
          </w:tcPr>
          <w:p w14:paraId="6B04807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07" w:type="dxa"/>
            <w:vMerge w:val="restart"/>
            <w:vAlign w:val="center"/>
          </w:tcPr>
          <w:p w14:paraId="3A7AA8B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2E20D4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2170B11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4626A67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0AFBC01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自有资金比例20%（含）至30%（不含）：10分</w:t>
            </w:r>
          </w:p>
        </w:tc>
        <w:tc>
          <w:tcPr>
            <w:tcW w:w="907" w:type="dxa"/>
            <w:vMerge w:val="continue"/>
          </w:tcPr>
          <w:p w14:paraId="654AC3F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057563B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06FCC4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15B2934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1BD1ED0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E8C594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自有资金比例10%（含）至20%（不含）：5分</w:t>
            </w:r>
          </w:p>
        </w:tc>
        <w:tc>
          <w:tcPr>
            <w:tcW w:w="907" w:type="dxa"/>
            <w:vMerge w:val="continue"/>
          </w:tcPr>
          <w:p w14:paraId="0821DBC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04CD6CC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0C30C0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</w:tcPr>
          <w:p w14:paraId="23CAF2E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</w:tcPr>
          <w:p w14:paraId="5D0A9D4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65B069D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</w:rPr>
              <w:t>自有资金比例10%以下：0分</w:t>
            </w:r>
          </w:p>
        </w:tc>
        <w:tc>
          <w:tcPr>
            <w:tcW w:w="907" w:type="dxa"/>
            <w:vMerge w:val="continue"/>
          </w:tcPr>
          <w:p w14:paraId="7CE6373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</w:tcPr>
          <w:p w14:paraId="472D1E9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72D005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gridSpan w:val="5"/>
            <w:vAlign w:val="center"/>
          </w:tcPr>
          <w:p w14:paraId="12D88B8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red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（四）能源保供能力（10分）</w:t>
            </w:r>
          </w:p>
        </w:tc>
      </w:tr>
      <w:tr w14:paraId="54F8D1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B436F5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８</w:t>
            </w:r>
          </w:p>
        </w:tc>
        <w:tc>
          <w:tcPr>
            <w:tcW w:w="1701" w:type="dxa"/>
            <w:vAlign w:val="center"/>
          </w:tcPr>
          <w:p w14:paraId="52957C7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电网调峰、应急保供、电网协同响应能力</w:t>
            </w:r>
          </w:p>
        </w:tc>
        <w:tc>
          <w:tcPr>
            <w:tcW w:w="4536" w:type="dxa"/>
            <w:vAlign w:val="center"/>
          </w:tcPr>
          <w:p w14:paraId="58909E2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both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主动配合电网调峰、顶峰、消纳新能源、参与应急保供的，得满分。</w:t>
            </w:r>
          </w:p>
        </w:tc>
        <w:tc>
          <w:tcPr>
            <w:tcW w:w="907" w:type="dxa"/>
            <w:vAlign w:val="center"/>
          </w:tcPr>
          <w:p w14:paraId="354A4AD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907" w:type="dxa"/>
            <w:vAlign w:val="center"/>
          </w:tcPr>
          <w:p w14:paraId="6366DBA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red"/>
              </w:rPr>
            </w:pPr>
          </w:p>
        </w:tc>
      </w:tr>
      <w:tr w14:paraId="172A41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gridSpan w:val="2"/>
            <w:vAlign w:val="center"/>
          </w:tcPr>
          <w:p w14:paraId="4AC42BB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合计基础评分满分100分</w:t>
            </w:r>
          </w:p>
        </w:tc>
        <w:tc>
          <w:tcPr>
            <w:tcW w:w="4536" w:type="dxa"/>
            <w:vAlign w:val="center"/>
          </w:tcPr>
          <w:p w14:paraId="226F17C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color w:val="00000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907" w:type="dxa"/>
            <w:vAlign w:val="center"/>
          </w:tcPr>
          <w:p w14:paraId="397CEE0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</w:p>
        </w:tc>
        <w:tc>
          <w:tcPr>
            <w:tcW w:w="907" w:type="dxa"/>
          </w:tcPr>
          <w:p w14:paraId="661B32A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highlight w:val="red"/>
              </w:rPr>
            </w:pPr>
          </w:p>
        </w:tc>
      </w:tr>
    </w:tbl>
    <w:p w14:paraId="40FA10C2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hint="eastAsia" w:ascii="黑体" w:hAnsi="黑体" w:eastAsia="黑体"/>
          <w:b w:val="0"/>
          <w:color w:val="000000"/>
          <w:sz w:val="32"/>
          <w:lang w:val="en-US" w:eastAsia="zh-CN"/>
        </w:rPr>
        <w:t>三</w:t>
      </w:r>
      <w:r>
        <w:rPr>
          <w:rFonts w:ascii="黑体" w:hAnsi="黑体" w:eastAsia="黑体"/>
          <w:b w:val="0"/>
          <w:color w:val="000000"/>
          <w:sz w:val="32"/>
        </w:rPr>
        <w:t>、一票否决项</w:t>
      </w:r>
    </w:p>
    <w:p w14:paraId="6466354C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参选企业存在下列情形之一的，实行一票否决：</w:t>
      </w:r>
    </w:p>
    <w:p w14:paraId="3F01496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1.提供虚假业绩、虚假资金证明、虚假资质材料的；</w:t>
      </w:r>
    </w:p>
    <w:p w14:paraId="534189C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2.存在严重失信、重大安全事故、重大环保处罚的；</w:t>
      </w:r>
    </w:p>
    <w:p w14:paraId="76A7C5C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3.承诺事项与实际严重不符、恶意低价、空壳公司参与遴选的；</w:t>
      </w:r>
    </w:p>
    <w:p w14:paraId="6BB1209D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hint="eastAsia" w:ascii="黑体" w:hAnsi="黑体" w:eastAsia="黑体"/>
          <w:b w:val="0"/>
          <w:color w:val="000000"/>
          <w:sz w:val="32"/>
          <w:lang w:val="en-US" w:eastAsia="zh-CN"/>
        </w:rPr>
        <w:t>四</w:t>
      </w:r>
      <w:r>
        <w:rPr>
          <w:rFonts w:ascii="黑体" w:hAnsi="黑体" w:eastAsia="黑体"/>
          <w:b w:val="0"/>
          <w:color w:val="000000"/>
          <w:sz w:val="32"/>
        </w:rPr>
        <w:t>、评分及公示规则</w:t>
      </w:r>
    </w:p>
    <w:p w14:paraId="432D881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1.招募公告公示期为</w:t>
      </w:r>
      <w:r>
        <w:rPr>
          <w:rFonts w:hint="eastAsia" w:ascii="仿宋_GB2312" w:hAnsi="仿宋_GB2312" w:eastAsia="仿宋_GB2312"/>
          <w:b w:val="0"/>
          <w:color w:val="000000"/>
          <w:sz w:val="32"/>
          <w:lang w:val="en-US" w:eastAsia="zh-CN"/>
        </w:rPr>
        <w:t>7</w:t>
      </w:r>
      <w:r>
        <w:rPr>
          <w:rFonts w:ascii="仿宋_GB2312" w:hAnsi="仿宋_GB2312" w:eastAsia="仿宋_GB2312"/>
          <w:b w:val="0"/>
          <w:color w:val="000000"/>
          <w:sz w:val="32"/>
        </w:rPr>
        <w:t>个自然日，公示期内符合条件的企业均可按要求准备并提交申报材料。</w:t>
      </w:r>
    </w:p>
    <w:p w14:paraId="43100D7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2.</w:t>
      </w:r>
      <w:r>
        <w:rPr>
          <w:rFonts w:hint="eastAsia" w:ascii="仿宋_GB2312" w:hAnsi="仿宋_GB2312" w:eastAsia="仿宋_GB2312"/>
          <w:b w:val="0"/>
          <w:color w:val="000000"/>
          <w:sz w:val="32"/>
          <w:lang w:val="en-US" w:eastAsia="zh-CN"/>
        </w:rPr>
        <w:t>该</w:t>
      </w:r>
      <w:r>
        <w:rPr>
          <w:rFonts w:ascii="仿宋_GB2312" w:hAnsi="仿宋_GB2312" w:eastAsia="仿宋_GB2312"/>
          <w:b w:val="0"/>
          <w:color w:val="000000"/>
          <w:sz w:val="32"/>
        </w:rPr>
        <w:t>评分</w:t>
      </w:r>
      <w:r>
        <w:rPr>
          <w:rFonts w:hint="eastAsia" w:ascii="仿宋_GB2312" w:hAnsi="仿宋_GB2312" w:eastAsia="仿宋_GB2312"/>
          <w:b w:val="0"/>
          <w:color w:val="000000"/>
          <w:sz w:val="32"/>
          <w:lang w:val="en-US" w:eastAsia="zh-CN"/>
        </w:rPr>
        <w:t>表</w:t>
      </w:r>
      <w:r>
        <w:rPr>
          <w:rFonts w:ascii="仿宋_GB2312" w:hAnsi="仿宋_GB2312" w:eastAsia="仿宋_GB2312"/>
          <w:b w:val="0"/>
          <w:color w:val="000000"/>
          <w:sz w:val="32"/>
        </w:rPr>
        <w:t>作为</w:t>
      </w:r>
      <w:r>
        <w:rPr>
          <w:rFonts w:hint="eastAsia" w:ascii="仿宋_GB2312" w:hAnsi="仿宋_GB2312" w:eastAsia="仿宋_GB2312"/>
          <w:b w:val="0"/>
          <w:color w:val="000000"/>
          <w:sz w:val="32"/>
          <w:lang w:val="en-US" w:eastAsia="zh-CN"/>
        </w:rPr>
        <w:t>此次选商唯一评价标准，</w:t>
      </w:r>
      <w:r>
        <w:rPr>
          <w:rFonts w:ascii="仿宋_GB2312" w:hAnsi="仿宋_GB2312" w:eastAsia="仿宋_GB2312"/>
          <w:b w:val="0"/>
          <w:color w:val="000000"/>
          <w:sz w:val="32"/>
        </w:rPr>
        <w:t>对外公开。</w:t>
      </w:r>
    </w:p>
    <w:p w14:paraId="48CF43C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3.评审不现场临时增加规则、不临时修改标准、不进行口头裁量，一律按本表及招募公告规定执行。</w:t>
      </w:r>
    </w:p>
    <w:p w14:paraId="3BBC95E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4.参选企业综合得分</w:t>
      </w:r>
      <w:r>
        <w:rPr>
          <w:rFonts w:hint="eastAsia" w:ascii="仿宋_GB2312" w:hAnsi="仿宋_GB2312" w:eastAsia="仿宋_GB2312"/>
          <w:b w:val="0"/>
          <w:color w:val="000000"/>
          <w:sz w:val="32"/>
          <w:lang w:val="en-US" w:eastAsia="zh-CN"/>
        </w:rPr>
        <w:t>最高100分，最低0分，不额外设置加分项</w:t>
      </w:r>
      <w:r>
        <w:rPr>
          <w:rFonts w:ascii="仿宋_GB2312" w:hAnsi="仿宋_GB2312" w:eastAsia="仿宋_GB2312"/>
          <w:b w:val="0"/>
          <w:color w:val="000000"/>
          <w:sz w:val="32"/>
        </w:rPr>
        <w:t>，按综合得分由高到低确定拟中选企业；综合得分相同且影响中选结果的，由评审组集体研究确定。</w:t>
      </w:r>
    </w:p>
    <w:p w14:paraId="326450C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5.有区间分值的评分项，由评审人员根据企业申报材料及佐证材料，在对应分值区间内评定。</w:t>
      </w:r>
    </w:p>
    <w:p w14:paraId="56FDFD9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440" w:firstLineChars="200"/>
        <w:jc w:val="both"/>
        <w:textAlignment w:val="auto"/>
      </w:pPr>
    </w:p>
    <w:p w14:paraId="2B46B91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1280"/>
        <w:jc w:val="right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评审专家（签字）：　　　　　　　　　　　　　　</w:t>
      </w:r>
    </w:p>
    <w:p w14:paraId="113CA81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1280"/>
        <w:jc w:val="right"/>
        <w:textAlignment w:val="auto"/>
      </w:pPr>
      <w:r>
        <w:rPr>
          <w:rFonts w:ascii="仿宋_GB2312" w:hAnsi="仿宋_GB2312" w:eastAsia="仿宋_GB2312"/>
          <w:b w:val="0"/>
          <w:color w:val="000000"/>
          <w:sz w:val="32"/>
        </w:rPr>
        <w:t>评审日期：　　　　年　　月　　日</w:t>
      </w:r>
    </w:p>
    <w:sectPr>
      <w:footerReference r:id="rId5" w:type="default"/>
      <w:pgSz w:w="11906" w:h="16838"/>
      <w:pgMar w:top="2098" w:right="1531" w:bottom="1984" w:left="153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10661">
    <w:pPr>
      <w:pStyle w:val="24"/>
      <w:spacing w:before="0" w:after="0"/>
      <w:jc w:val="center"/>
    </w:pPr>
    <w:r>
      <w:rPr>
        <w:rFonts w:ascii="宋体" w:hAnsi="宋体" w:eastAsia="宋体"/>
        <w:b w:val="0"/>
        <w:color w:val="000000"/>
        <w:sz w:val="28"/>
      </w:rPr>
      <w:t xml:space="preserve">— </w:t>
    </w:r>
    <w:r>
      <w:rPr>
        <w:rFonts w:ascii="宋体" w:hAnsi="宋体" w:eastAsia="宋体"/>
        <w:b w:val="0"/>
        <w:color w:val="000000"/>
        <w:sz w:val="28"/>
      </w:rPr>
      <w:fldChar w:fldCharType="begin"/>
    </w:r>
    <w:r>
      <w:rPr>
        <w:rFonts w:ascii="宋体" w:hAnsi="宋体" w:eastAsia="宋体"/>
        <w:b w:val="0"/>
        <w:color w:val="000000"/>
        <w:sz w:val="28"/>
      </w:rPr>
      <w:instrText xml:space="preserve"> PAGE </w:instrText>
    </w:r>
    <w:r>
      <w:rPr>
        <w:rFonts w:ascii="宋体" w:hAnsi="宋体" w:eastAsia="宋体"/>
        <w:b w:val="0"/>
        <w:color w:val="000000"/>
        <w:sz w:val="28"/>
      </w:rPr>
      <w:fldChar w:fldCharType="end"/>
    </w:r>
    <w:r>
      <w:rPr>
        <w:rFonts w:ascii="宋体" w:hAnsi="宋体" w:eastAsia="宋体"/>
        <w:b w:val="0"/>
        <w:color w:val="00000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A00C4B"/>
    <w:rsid w:val="01E274B5"/>
    <w:rsid w:val="02BF340E"/>
    <w:rsid w:val="03305FFE"/>
    <w:rsid w:val="03771E7F"/>
    <w:rsid w:val="05B66C8F"/>
    <w:rsid w:val="06035C4C"/>
    <w:rsid w:val="061B11E8"/>
    <w:rsid w:val="06B6758D"/>
    <w:rsid w:val="07C845AA"/>
    <w:rsid w:val="09793A7C"/>
    <w:rsid w:val="13A46184"/>
    <w:rsid w:val="2577014A"/>
    <w:rsid w:val="287C56BE"/>
    <w:rsid w:val="2940493E"/>
    <w:rsid w:val="29CC7F7F"/>
    <w:rsid w:val="2CB845BF"/>
    <w:rsid w:val="2CF717B7"/>
    <w:rsid w:val="32EC7F66"/>
    <w:rsid w:val="36CC5A63"/>
    <w:rsid w:val="37936580"/>
    <w:rsid w:val="391A0D07"/>
    <w:rsid w:val="3BFF41E4"/>
    <w:rsid w:val="3C963F1E"/>
    <w:rsid w:val="3CF17FD1"/>
    <w:rsid w:val="3E2133CF"/>
    <w:rsid w:val="409C46F8"/>
    <w:rsid w:val="430C1E5C"/>
    <w:rsid w:val="44496945"/>
    <w:rsid w:val="45CF2E79"/>
    <w:rsid w:val="46F95033"/>
    <w:rsid w:val="47242D51"/>
    <w:rsid w:val="47757377"/>
    <w:rsid w:val="486F26F2"/>
    <w:rsid w:val="4B5736F5"/>
    <w:rsid w:val="4C5E4F57"/>
    <w:rsid w:val="54CB1C8A"/>
    <w:rsid w:val="55C027DF"/>
    <w:rsid w:val="55DF0EB7"/>
    <w:rsid w:val="597731B4"/>
    <w:rsid w:val="5D9E3405"/>
    <w:rsid w:val="5DB46F7F"/>
    <w:rsid w:val="60956D42"/>
    <w:rsid w:val="622D2FAA"/>
    <w:rsid w:val="62913539"/>
    <w:rsid w:val="63BC03E7"/>
    <w:rsid w:val="64F953C5"/>
    <w:rsid w:val="6747066A"/>
    <w:rsid w:val="67DA7730"/>
    <w:rsid w:val="70131A31"/>
    <w:rsid w:val="73832A2A"/>
    <w:rsid w:val="74D6302D"/>
    <w:rsid w:val="74DD3B22"/>
    <w:rsid w:val="75C701A0"/>
    <w:rsid w:val="75EB0D5A"/>
    <w:rsid w:val="79A951B4"/>
    <w:rsid w:val="7DB1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430</Words>
  <Characters>434</Characters>
  <Lines>0</Lines>
  <Paragraphs>0</Paragraphs>
  <TotalTime>12</TotalTime>
  <ScaleCrop>false</ScaleCrop>
  <LinksUpToDate>false</LinksUpToDate>
  <CharactersWithSpaces>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蔚然深秀</cp:lastModifiedBy>
  <cp:lastPrinted>2026-09-18T10:31:00Z</cp:lastPrinted>
  <dcterms:modified xsi:type="dcterms:W3CDTF">2026-09-18T13:08:42Z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eyJoZGlkIjoiZTU2ODA4N2ZjODYyZDZkNjUyZmQ0MTZjZGMxZTMyYzYiLCJ1c2VySWQiOiIyMjg5MDg0In0=</vt:lpwstr>
  </property>
  <property fmtid="{D5CDD505-2E9C-101B-9397-08002B2CF9AE}" pid="3" name="KSOProductBuildVer">
    <vt:lpwstr>2052-12.1.0.28043</vt:lpwstr>
  </property>
  <property fmtid="{D5CDD505-2E9C-101B-9397-08002B2CF9AE}" pid="4" name="ICV">
    <vt:lpwstr>D203EFACE1BC4CF09A1FF3A550BC9312_12</vt:lpwstr>
  </property>
</Properties>
</file>