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515"/>
        <w:ind w:left="550" w:right="773" w:hanging="10"/>
        <w:rPr>
          <w:rFonts w:hint="eastAsia" w:ascii="方正小标宋简体" w:hAnsi="方正小标宋简体" w:eastAsia="方正小标宋简体" w:cs="方正小标宋简体"/>
        </w:rPr>
      </w:pPr>
      <w:bookmarkStart w:id="0" w:name="_GoBack"/>
      <w:bookmarkEnd w:id="0"/>
      <w:r>
        <w:rPr>
          <w:rFonts w:hint="eastAsia" w:ascii="方正小标宋简体" w:hAnsi="方正小标宋简体" w:eastAsia="方正小标宋简体" w:cs="方正小标宋简体"/>
          <w:sz w:val="36"/>
          <w:lang w:eastAsia="zh-CN"/>
        </w:rPr>
        <w:t>银河路街道</w:t>
      </w:r>
      <w:r>
        <w:rPr>
          <w:rFonts w:hint="eastAsia" w:ascii="方正小标宋简体" w:hAnsi="方正小标宋简体" w:eastAsia="方正小标宋简体" w:cs="方正小标宋简体"/>
          <w:sz w:val="36"/>
        </w:rPr>
        <w:t>赋权事项自由裁量基准</w:t>
      </w:r>
    </w:p>
    <w:tbl>
      <w:tblPr>
        <w:tblStyle w:val="5"/>
        <w:tblW w:w="14037" w:type="dxa"/>
        <w:tblInd w:w="-5064" w:type="dxa"/>
        <w:tblLayout w:type="autofit"/>
        <w:tblCellMar>
          <w:top w:w="42" w:type="dxa"/>
          <w:left w:w="107" w:type="dxa"/>
          <w:bottom w:w="0" w:type="dxa"/>
          <w:right w:w="9" w:type="dxa"/>
        </w:tblCellMar>
      </w:tblPr>
      <w:tblGrid>
        <w:gridCol w:w="849"/>
        <w:gridCol w:w="1698"/>
        <w:gridCol w:w="3689"/>
        <w:gridCol w:w="1130"/>
        <w:gridCol w:w="3187"/>
        <w:gridCol w:w="3484"/>
      </w:tblGrid>
      <w:tr>
        <w:tblPrEx>
          <w:tblCellMar>
            <w:top w:w="42" w:type="dxa"/>
            <w:left w:w="107" w:type="dxa"/>
            <w:bottom w:w="0" w:type="dxa"/>
            <w:right w:w="9" w:type="dxa"/>
          </w:tblCellMar>
        </w:tblPrEx>
        <w:trPr>
          <w:trHeight w:val="322" w:hRule="atLeast"/>
        </w:trPr>
        <w:tc>
          <w:tcPr>
            <w:tcW w:w="849" w:type="dxa"/>
            <w:tcBorders>
              <w:top w:val="single" w:color="000000" w:sz="4" w:space="0"/>
              <w:left w:val="single" w:color="000000" w:sz="4" w:space="0"/>
              <w:bottom w:val="single" w:color="000000" w:sz="4" w:space="0"/>
              <w:right w:val="single" w:color="000000" w:sz="4" w:space="0"/>
            </w:tcBorders>
          </w:tcPr>
          <w:p>
            <w:pPr>
              <w:ind w:left="77"/>
              <w:jc w:val="both"/>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序号</w:t>
            </w:r>
          </w:p>
        </w:tc>
        <w:tc>
          <w:tcPr>
            <w:tcW w:w="1698" w:type="dxa"/>
            <w:tcBorders>
              <w:top w:val="single" w:color="000000" w:sz="4" w:space="0"/>
              <w:left w:val="single" w:color="000000" w:sz="4" w:space="0"/>
              <w:bottom w:val="single" w:color="000000" w:sz="4" w:space="0"/>
              <w:right w:val="single" w:color="000000" w:sz="4" w:space="0"/>
            </w:tcBorders>
          </w:tcPr>
          <w:p>
            <w:pPr>
              <w:ind w:left="263"/>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违法行为</w:t>
            </w:r>
          </w:p>
        </w:tc>
        <w:tc>
          <w:tcPr>
            <w:tcW w:w="3689" w:type="dxa"/>
            <w:tcBorders>
              <w:top w:val="single" w:color="000000" w:sz="4" w:space="0"/>
              <w:left w:val="single" w:color="000000" w:sz="4" w:space="0"/>
              <w:bottom w:val="single" w:color="000000" w:sz="4" w:space="0"/>
              <w:right w:val="single" w:color="000000" w:sz="4" w:space="0"/>
            </w:tcBorders>
          </w:tcPr>
          <w:p>
            <w:pPr>
              <w:ind w:left="0" w:right="98"/>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处罚依据</w:t>
            </w:r>
          </w:p>
        </w:tc>
        <w:tc>
          <w:tcPr>
            <w:tcW w:w="4317" w:type="dxa"/>
            <w:gridSpan w:val="2"/>
            <w:tcBorders>
              <w:top w:val="single" w:color="000000" w:sz="4" w:space="0"/>
              <w:left w:val="single" w:color="000000" w:sz="4" w:space="0"/>
              <w:bottom w:val="single" w:color="000000" w:sz="4" w:space="0"/>
              <w:right w:val="single" w:color="000000" w:sz="4" w:space="0"/>
            </w:tcBorders>
          </w:tcPr>
          <w:p>
            <w:pPr>
              <w:ind w:left="0" w:right="98"/>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违法情形</w:t>
            </w:r>
          </w:p>
        </w:tc>
        <w:tc>
          <w:tcPr>
            <w:tcW w:w="3484" w:type="dxa"/>
            <w:tcBorders>
              <w:top w:val="single" w:color="000000" w:sz="4" w:space="0"/>
              <w:left w:val="single" w:color="000000" w:sz="4" w:space="0"/>
              <w:bottom w:val="single" w:color="000000" w:sz="4" w:space="0"/>
              <w:right w:val="single" w:color="000000" w:sz="4" w:space="0"/>
            </w:tcBorders>
          </w:tcPr>
          <w:p>
            <w:pPr>
              <w:ind w:left="0" w:right="99"/>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处罚基准</w:t>
            </w:r>
          </w:p>
        </w:tc>
      </w:tr>
      <w:tr>
        <w:tblPrEx>
          <w:tblCellMar>
            <w:top w:w="57" w:type="dxa"/>
            <w:left w:w="107" w:type="dxa"/>
            <w:bottom w:w="0" w:type="dxa"/>
            <w:right w:w="9" w:type="dxa"/>
          </w:tblCellMar>
        </w:tblPrEx>
        <w:trPr>
          <w:trHeight w:val="634" w:hRule="atLeast"/>
        </w:trPr>
        <w:tc>
          <w:tcPr>
            <w:tcW w:w="849" w:type="dxa"/>
            <w:vMerge w:val="restart"/>
            <w:tcBorders>
              <w:top w:val="single" w:color="000000" w:sz="4" w:space="0"/>
              <w:left w:val="single" w:color="000000" w:sz="4" w:space="0"/>
              <w:bottom w:val="single" w:color="000000" w:sz="4" w:space="0"/>
              <w:right w:val="single" w:color="000000" w:sz="4" w:space="0"/>
            </w:tcBorders>
            <w:vAlign w:val="center"/>
          </w:tcPr>
          <w:p>
            <w:pPr>
              <w:ind w:left="0" w:right="100"/>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1</w:t>
            </w:r>
          </w:p>
        </w:tc>
        <w:tc>
          <w:tcPr>
            <w:tcW w:w="1698" w:type="dxa"/>
            <w:vMerge w:val="restart"/>
            <w:tcBorders>
              <w:top w:val="single" w:color="000000" w:sz="4" w:space="0"/>
              <w:left w:val="single" w:color="000000" w:sz="4" w:space="0"/>
              <w:bottom w:val="single" w:color="000000" w:sz="4" w:space="0"/>
              <w:right w:val="single" w:color="000000" w:sz="4" w:space="0"/>
            </w:tcBorders>
            <w:vAlign w:val="center"/>
          </w:tcPr>
          <w:p>
            <w:pPr>
              <w:ind w:left="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对物业管理单位发现装修人或者装饰装修企业有违反本办法规定的行为不及时向有关部门报告的处罚</w:t>
            </w:r>
          </w:p>
        </w:tc>
        <w:tc>
          <w:tcPr>
            <w:tcW w:w="3689" w:type="dxa"/>
            <w:vMerge w:val="restart"/>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住宅室内装饰装修管理办法》第四十二条:物业管理单位发现装修人或者装饰装修企业有违反本办法规定的行为不及时向有关部门报告的，由房地产行政主管部门给予警告，可处装饰装修管理服务协议约定的装饰装修管理服务费2至3倍的罚款。</w:t>
            </w:r>
          </w:p>
        </w:tc>
        <w:tc>
          <w:tcPr>
            <w:tcW w:w="1130"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一般违法行为</w:t>
            </w:r>
          </w:p>
        </w:tc>
        <w:tc>
          <w:tcPr>
            <w:tcW w:w="3187"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不及时报告未造成危害后果</w:t>
            </w:r>
          </w:p>
        </w:tc>
        <w:tc>
          <w:tcPr>
            <w:tcW w:w="3484" w:type="dxa"/>
            <w:tcBorders>
              <w:top w:val="single" w:color="000000" w:sz="4" w:space="0"/>
              <w:left w:val="single" w:color="000000" w:sz="4" w:space="0"/>
              <w:bottom w:val="single" w:color="000000" w:sz="4" w:space="0"/>
              <w:right w:val="single" w:color="000000" w:sz="4" w:space="0"/>
            </w:tcBorders>
            <w:vAlign w:val="center"/>
          </w:tcPr>
          <w:p>
            <w:pPr>
              <w:ind w:left="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警告，不予罚款。</w:t>
            </w:r>
          </w:p>
        </w:tc>
      </w:tr>
      <w:tr>
        <w:tblPrEx>
          <w:tblCellMar>
            <w:top w:w="57" w:type="dxa"/>
            <w:left w:w="107" w:type="dxa"/>
            <w:bottom w:w="0" w:type="dxa"/>
            <w:right w:w="9" w:type="dxa"/>
          </w:tblCellMar>
        </w:tblPrEx>
        <w:trPr>
          <w:trHeight w:val="634" w:hRule="atLeast"/>
        </w:trPr>
        <w:tc>
          <w:tcPr>
            <w:tcW w:w="849" w:type="dxa"/>
            <w:vMerge w:val="continue"/>
            <w:tcBorders>
              <w:top w:val="nil"/>
              <w:left w:val="single" w:color="000000" w:sz="4" w:space="0"/>
              <w:bottom w:val="nil"/>
              <w:right w:val="single" w:color="000000" w:sz="4" w:space="0"/>
            </w:tcBorders>
          </w:tcPr>
          <w:p>
            <w:pPr>
              <w:spacing w:after="160"/>
              <w:ind w:left="0"/>
              <w:rPr>
                <w:rFonts w:hint="eastAsia" w:ascii="仿宋_GB2312" w:hAnsi="仿宋_GB2312" w:eastAsia="仿宋_GB2312" w:cs="仿宋_GB2312"/>
                <w:sz w:val="18"/>
                <w:szCs w:val="18"/>
              </w:rPr>
            </w:pPr>
          </w:p>
        </w:tc>
        <w:tc>
          <w:tcPr>
            <w:tcW w:w="1698" w:type="dxa"/>
            <w:vMerge w:val="continue"/>
            <w:tcBorders>
              <w:top w:val="nil"/>
              <w:left w:val="single" w:color="000000" w:sz="4" w:space="0"/>
              <w:bottom w:val="nil"/>
              <w:right w:val="single" w:color="000000" w:sz="4" w:space="0"/>
            </w:tcBorders>
            <w:vAlign w:val="center"/>
          </w:tcPr>
          <w:p>
            <w:pPr>
              <w:spacing w:after="160"/>
              <w:ind w:left="0"/>
              <w:jc w:val="center"/>
              <w:rPr>
                <w:rFonts w:hint="eastAsia" w:ascii="仿宋_GB2312" w:hAnsi="仿宋_GB2312" w:eastAsia="仿宋_GB2312" w:cs="仿宋_GB2312"/>
                <w:sz w:val="18"/>
                <w:szCs w:val="18"/>
              </w:rPr>
            </w:pPr>
          </w:p>
        </w:tc>
        <w:tc>
          <w:tcPr>
            <w:tcW w:w="3689" w:type="dxa"/>
            <w:vMerge w:val="continue"/>
            <w:tcBorders>
              <w:top w:val="nil"/>
              <w:left w:val="single" w:color="000000" w:sz="4" w:space="0"/>
              <w:bottom w:val="nil"/>
              <w:right w:val="single" w:color="000000" w:sz="4" w:space="0"/>
            </w:tcBorders>
            <w:vAlign w:val="center"/>
          </w:tcPr>
          <w:p>
            <w:pPr>
              <w:spacing w:after="160"/>
              <w:ind w:left="0"/>
              <w:jc w:val="center"/>
              <w:rPr>
                <w:rFonts w:hint="eastAsia" w:ascii="仿宋_GB2312" w:hAnsi="仿宋_GB2312" w:eastAsia="仿宋_GB2312" w:cs="仿宋_GB2312"/>
                <w:sz w:val="18"/>
                <w:szCs w:val="18"/>
              </w:rPr>
            </w:pPr>
          </w:p>
        </w:tc>
        <w:tc>
          <w:tcPr>
            <w:tcW w:w="1130"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较重违法行为</w:t>
            </w:r>
          </w:p>
        </w:tc>
        <w:tc>
          <w:tcPr>
            <w:tcW w:w="3187"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不及时报告造成危害后果的</w:t>
            </w:r>
          </w:p>
        </w:tc>
        <w:tc>
          <w:tcPr>
            <w:tcW w:w="3484" w:type="dxa"/>
            <w:tcBorders>
              <w:top w:val="single" w:color="000000" w:sz="4" w:space="0"/>
              <w:left w:val="single" w:color="000000" w:sz="4" w:space="0"/>
              <w:bottom w:val="single" w:color="000000" w:sz="4" w:space="0"/>
              <w:right w:val="single" w:color="000000" w:sz="4" w:space="0"/>
            </w:tcBorders>
            <w:vAlign w:val="center"/>
          </w:tcPr>
          <w:p>
            <w:pPr>
              <w:ind w:left="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警告，处以装饰装修管理服务协议约定的装饰装修管理服务费2倍罚款。</w:t>
            </w:r>
          </w:p>
        </w:tc>
      </w:tr>
      <w:tr>
        <w:tblPrEx>
          <w:tblCellMar>
            <w:top w:w="57" w:type="dxa"/>
            <w:left w:w="107" w:type="dxa"/>
            <w:bottom w:w="0" w:type="dxa"/>
            <w:right w:w="9" w:type="dxa"/>
          </w:tblCellMar>
        </w:tblPrEx>
        <w:trPr>
          <w:trHeight w:val="926" w:hRule="atLeast"/>
        </w:trPr>
        <w:tc>
          <w:tcPr>
            <w:tcW w:w="849" w:type="dxa"/>
            <w:vMerge w:val="continue"/>
            <w:tcBorders>
              <w:top w:val="nil"/>
              <w:left w:val="single" w:color="000000" w:sz="4" w:space="0"/>
              <w:bottom w:val="single" w:color="000000" w:sz="4" w:space="0"/>
              <w:right w:val="single" w:color="000000" w:sz="4" w:space="0"/>
            </w:tcBorders>
          </w:tcPr>
          <w:p>
            <w:pPr>
              <w:spacing w:after="160"/>
              <w:ind w:left="0"/>
              <w:rPr>
                <w:rFonts w:hint="eastAsia" w:ascii="仿宋_GB2312" w:hAnsi="仿宋_GB2312" w:eastAsia="仿宋_GB2312" w:cs="仿宋_GB2312"/>
                <w:sz w:val="18"/>
                <w:szCs w:val="18"/>
              </w:rPr>
            </w:pPr>
          </w:p>
        </w:tc>
        <w:tc>
          <w:tcPr>
            <w:tcW w:w="1698" w:type="dxa"/>
            <w:vMerge w:val="continue"/>
            <w:tcBorders>
              <w:top w:val="nil"/>
              <w:left w:val="single" w:color="000000" w:sz="4" w:space="0"/>
              <w:bottom w:val="single" w:color="000000" w:sz="4" w:space="0"/>
              <w:right w:val="single" w:color="000000" w:sz="4" w:space="0"/>
            </w:tcBorders>
            <w:vAlign w:val="center"/>
          </w:tcPr>
          <w:p>
            <w:pPr>
              <w:spacing w:after="160"/>
              <w:ind w:left="0"/>
              <w:jc w:val="center"/>
              <w:rPr>
                <w:rFonts w:hint="eastAsia" w:ascii="仿宋_GB2312" w:hAnsi="仿宋_GB2312" w:eastAsia="仿宋_GB2312" w:cs="仿宋_GB2312"/>
                <w:sz w:val="18"/>
                <w:szCs w:val="18"/>
              </w:rPr>
            </w:pPr>
          </w:p>
        </w:tc>
        <w:tc>
          <w:tcPr>
            <w:tcW w:w="3689" w:type="dxa"/>
            <w:vMerge w:val="continue"/>
            <w:tcBorders>
              <w:top w:val="nil"/>
              <w:left w:val="single" w:color="000000" w:sz="4" w:space="0"/>
              <w:bottom w:val="single" w:color="000000" w:sz="4" w:space="0"/>
              <w:right w:val="single" w:color="000000" w:sz="4" w:space="0"/>
            </w:tcBorders>
            <w:vAlign w:val="center"/>
          </w:tcPr>
          <w:p>
            <w:pPr>
              <w:spacing w:after="160"/>
              <w:ind w:left="0"/>
              <w:jc w:val="center"/>
              <w:rPr>
                <w:rFonts w:hint="eastAsia" w:ascii="仿宋_GB2312" w:hAnsi="仿宋_GB2312" w:eastAsia="仿宋_GB2312" w:cs="仿宋_GB2312"/>
                <w:sz w:val="18"/>
                <w:szCs w:val="18"/>
              </w:rPr>
            </w:pPr>
          </w:p>
        </w:tc>
        <w:tc>
          <w:tcPr>
            <w:tcW w:w="1130"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严重违法行为</w:t>
            </w:r>
          </w:p>
        </w:tc>
        <w:tc>
          <w:tcPr>
            <w:tcW w:w="3187"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不及时向有关部门报告造成直接经济损失或社会负面影响的</w:t>
            </w:r>
          </w:p>
        </w:tc>
        <w:tc>
          <w:tcPr>
            <w:tcW w:w="3484" w:type="dxa"/>
            <w:tcBorders>
              <w:top w:val="single" w:color="000000" w:sz="4" w:space="0"/>
              <w:left w:val="single" w:color="000000" w:sz="4" w:space="0"/>
              <w:bottom w:val="single" w:color="000000" w:sz="4" w:space="0"/>
              <w:right w:val="single" w:color="000000" w:sz="4" w:space="0"/>
            </w:tcBorders>
            <w:vAlign w:val="center"/>
          </w:tcPr>
          <w:p>
            <w:pPr>
              <w:ind w:left="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警告，处以装饰装修管理服务协议约定的装饰装修管理服务费3倍的罚款。</w:t>
            </w:r>
          </w:p>
        </w:tc>
      </w:tr>
      <w:tr>
        <w:tblPrEx>
          <w:tblCellMar>
            <w:top w:w="57" w:type="dxa"/>
            <w:left w:w="107" w:type="dxa"/>
            <w:bottom w:w="0" w:type="dxa"/>
            <w:right w:w="9" w:type="dxa"/>
          </w:tblCellMar>
        </w:tblPrEx>
        <w:trPr>
          <w:trHeight w:val="1810" w:hRule="atLeast"/>
        </w:trPr>
        <w:tc>
          <w:tcPr>
            <w:tcW w:w="849" w:type="dxa"/>
            <w:vMerge w:val="restart"/>
            <w:tcBorders>
              <w:top w:val="single" w:color="000000" w:sz="4" w:space="0"/>
              <w:left w:val="single" w:color="000000" w:sz="4" w:space="0"/>
              <w:bottom w:val="single" w:color="000000" w:sz="4" w:space="0"/>
              <w:right w:val="single" w:color="000000" w:sz="4" w:space="0"/>
            </w:tcBorders>
            <w:vAlign w:val="center"/>
          </w:tcPr>
          <w:p>
            <w:pPr>
              <w:ind w:left="0" w:right="100"/>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2</w:t>
            </w:r>
          </w:p>
        </w:tc>
        <w:tc>
          <w:tcPr>
            <w:tcW w:w="1698" w:type="dxa"/>
            <w:vMerge w:val="restart"/>
            <w:tcBorders>
              <w:top w:val="single" w:color="000000" w:sz="4" w:space="0"/>
              <w:left w:val="single" w:color="000000" w:sz="4" w:space="0"/>
              <w:bottom w:val="single" w:color="000000" w:sz="4" w:space="0"/>
              <w:right w:val="single" w:color="000000" w:sz="4" w:space="0"/>
            </w:tcBorders>
            <w:vAlign w:val="center"/>
          </w:tcPr>
          <w:p>
            <w:pPr>
              <w:ind w:left="1"/>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对未经同意擅自占用城市绿化用地的处罚</w:t>
            </w:r>
          </w:p>
        </w:tc>
        <w:tc>
          <w:tcPr>
            <w:tcW w:w="3689" w:type="dxa"/>
            <w:vMerge w:val="restart"/>
            <w:tcBorders>
              <w:top w:val="single" w:color="000000" w:sz="4" w:space="0"/>
              <w:left w:val="single" w:color="000000" w:sz="4" w:space="0"/>
              <w:bottom w:val="single" w:color="000000" w:sz="4" w:space="0"/>
              <w:right w:val="single" w:color="000000" w:sz="4" w:space="0"/>
            </w:tcBorders>
            <w:vAlign w:val="center"/>
          </w:tcPr>
          <w:p>
            <w:pPr>
              <w:spacing w:line="278" w:lineRule="auto"/>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新疆维吾尔自治区实施〈城市绿化条例〉办法》第二十二条:未经同意擅自占用城市绿化用地的，由城市绿化行政主管部门依法责令限期退还、恢复原状。对从事非经营活动的，对个人可处200元以下罚款，对单位可处1000元以下罚款；对从事经营活动的，有违法所得的，可处违法所得3倍以下罚款，但不得超过30000元，无违法所得的，可处10000元以下罚款；造成损失的，应当负赔偿责任。</w:t>
            </w:r>
          </w:p>
        </w:tc>
        <w:tc>
          <w:tcPr>
            <w:tcW w:w="1130"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一般违法行为</w:t>
            </w:r>
          </w:p>
        </w:tc>
        <w:tc>
          <w:tcPr>
            <w:tcW w:w="3187"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期限内退还并能够恢复原状的</w:t>
            </w:r>
          </w:p>
        </w:tc>
        <w:tc>
          <w:tcPr>
            <w:tcW w:w="3484" w:type="dxa"/>
            <w:tcBorders>
              <w:top w:val="single" w:color="000000" w:sz="4" w:space="0"/>
              <w:left w:val="single" w:color="000000" w:sz="4" w:space="0"/>
              <w:bottom w:val="single" w:color="000000" w:sz="4" w:space="0"/>
              <w:right w:val="single" w:color="000000" w:sz="4" w:space="0"/>
            </w:tcBorders>
            <w:vAlign w:val="center"/>
          </w:tcPr>
          <w:p>
            <w:pPr>
              <w:ind w:left="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对从事非经营活动的，对个人可处50元罚款，对单位可处200元罚款；对从事经营活动的，有违法所得的，可处违法所得1倍罚款，但不得超过3万元，无违法所得的，可处1000元罚款。</w:t>
            </w:r>
          </w:p>
        </w:tc>
      </w:tr>
      <w:tr>
        <w:tblPrEx>
          <w:tblCellMar>
            <w:top w:w="57" w:type="dxa"/>
            <w:left w:w="107" w:type="dxa"/>
            <w:bottom w:w="0" w:type="dxa"/>
            <w:right w:w="9" w:type="dxa"/>
          </w:tblCellMar>
        </w:tblPrEx>
        <w:trPr>
          <w:trHeight w:val="2510" w:hRule="atLeast"/>
        </w:trPr>
        <w:tc>
          <w:tcPr>
            <w:tcW w:w="849" w:type="dxa"/>
            <w:vMerge w:val="continue"/>
            <w:tcBorders>
              <w:top w:val="nil"/>
              <w:left w:val="single" w:color="000000" w:sz="4" w:space="0"/>
              <w:bottom w:val="single" w:color="000000" w:sz="4" w:space="0"/>
              <w:right w:val="single" w:color="000000" w:sz="4" w:space="0"/>
            </w:tcBorders>
          </w:tcPr>
          <w:p>
            <w:pPr>
              <w:spacing w:after="160"/>
              <w:ind w:left="0"/>
              <w:rPr>
                <w:rFonts w:hint="eastAsia" w:ascii="仿宋_GB2312" w:hAnsi="仿宋_GB2312" w:eastAsia="仿宋_GB2312" w:cs="仿宋_GB2312"/>
                <w:sz w:val="18"/>
                <w:szCs w:val="18"/>
              </w:rPr>
            </w:pPr>
          </w:p>
        </w:tc>
        <w:tc>
          <w:tcPr>
            <w:tcW w:w="1698" w:type="dxa"/>
            <w:vMerge w:val="continue"/>
            <w:tcBorders>
              <w:top w:val="nil"/>
              <w:left w:val="single" w:color="000000" w:sz="4" w:space="0"/>
              <w:bottom w:val="single" w:color="000000" w:sz="4" w:space="0"/>
              <w:right w:val="single" w:color="000000" w:sz="4" w:space="0"/>
            </w:tcBorders>
          </w:tcPr>
          <w:p>
            <w:pPr>
              <w:spacing w:after="160"/>
              <w:ind w:left="0"/>
              <w:rPr>
                <w:rFonts w:hint="eastAsia" w:ascii="仿宋_GB2312" w:hAnsi="仿宋_GB2312" w:eastAsia="仿宋_GB2312" w:cs="仿宋_GB2312"/>
                <w:sz w:val="18"/>
                <w:szCs w:val="18"/>
              </w:rPr>
            </w:pPr>
          </w:p>
        </w:tc>
        <w:tc>
          <w:tcPr>
            <w:tcW w:w="3689" w:type="dxa"/>
            <w:vMerge w:val="continue"/>
            <w:tcBorders>
              <w:top w:val="nil"/>
              <w:left w:val="single" w:color="000000" w:sz="4" w:space="0"/>
              <w:bottom w:val="single" w:color="000000" w:sz="4" w:space="0"/>
              <w:right w:val="single" w:color="000000" w:sz="4" w:space="0"/>
            </w:tcBorders>
            <w:vAlign w:val="center"/>
          </w:tcPr>
          <w:p>
            <w:pPr>
              <w:spacing w:after="160"/>
              <w:ind w:left="0"/>
              <w:jc w:val="center"/>
              <w:rPr>
                <w:rFonts w:hint="eastAsia" w:ascii="仿宋_GB2312" w:hAnsi="仿宋_GB2312" w:eastAsia="仿宋_GB2312" w:cs="仿宋_GB2312"/>
                <w:sz w:val="18"/>
                <w:szCs w:val="18"/>
              </w:rPr>
            </w:pPr>
          </w:p>
        </w:tc>
        <w:tc>
          <w:tcPr>
            <w:tcW w:w="1130"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较重违法行为</w:t>
            </w:r>
          </w:p>
        </w:tc>
        <w:tc>
          <w:tcPr>
            <w:tcW w:w="3187"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期限内未退还但能够恢复原状的</w:t>
            </w:r>
          </w:p>
        </w:tc>
        <w:tc>
          <w:tcPr>
            <w:tcW w:w="3484" w:type="dxa"/>
            <w:tcBorders>
              <w:top w:val="single" w:color="000000" w:sz="4" w:space="0"/>
              <w:left w:val="single" w:color="000000" w:sz="4" w:space="0"/>
              <w:bottom w:val="single" w:color="000000" w:sz="4" w:space="0"/>
              <w:right w:val="single" w:color="000000" w:sz="4" w:space="0"/>
            </w:tcBorders>
            <w:vAlign w:val="center"/>
          </w:tcPr>
          <w:p>
            <w:pPr>
              <w:ind w:left="1"/>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rPr>
              <w:t>对从事非经营活动的，对个人可处100元罚款，对单位可处400元罚款；对从事经营活动的，有违法所得的，可处违法所得1.5倍罚款，但不得超过3万元，无违法所得的，可处3000元罚</w:t>
            </w:r>
            <w:r>
              <w:rPr>
                <w:rFonts w:hint="eastAsia" w:ascii="仿宋_GB2312" w:hAnsi="仿宋_GB2312" w:eastAsia="仿宋_GB2312" w:cs="仿宋_GB2312"/>
                <w:sz w:val="18"/>
                <w:szCs w:val="18"/>
                <w:lang w:eastAsia="zh-CN"/>
              </w:rPr>
              <w:t>款。</w:t>
            </w:r>
          </w:p>
        </w:tc>
      </w:tr>
    </w:tbl>
    <w:p>
      <w:pPr>
        <w:ind w:left="-6022" w:right="79"/>
        <w:rPr>
          <w:rFonts w:hint="eastAsia" w:ascii="仿宋_GB2312" w:hAnsi="仿宋_GB2312" w:eastAsia="仿宋_GB2312" w:cs="仿宋_GB2312"/>
          <w:sz w:val="18"/>
          <w:szCs w:val="18"/>
        </w:rPr>
      </w:pPr>
    </w:p>
    <w:tbl>
      <w:tblPr>
        <w:tblStyle w:val="5"/>
        <w:tblW w:w="14037" w:type="dxa"/>
        <w:tblInd w:w="-5064" w:type="dxa"/>
        <w:tblLayout w:type="autofit"/>
        <w:tblCellMar>
          <w:top w:w="58" w:type="dxa"/>
          <w:left w:w="107" w:type="dxa"/>
          <w:bottom w:w="0" w:type="dxa"/>
          <w:right w:w="108" w:type="dxa"/>
        </w:tblCellMar>
      </w:tblPr>
      <w:tblGrid>
        <w:gridCol w:w="849"/>
        <w:gridCol w:w="1698"/>
        <w:gridCol w:w="3689"/>
        <w:gridCol w:w="1130"/>
        <w:gridCol w:w="3187"/>
        <w:gridCol w:w="2336"/>
        <w:gridCol w:w="1148"/>
      </w:tblGrid>
      <w:tr>
        <w:tblPrEx>
          <w:tblCellMar>
            <w:top w:w="58" w:type="dxa"/>
            <w:left w:w="107" w:type="dxa"/>
            <w:bottom w:w="0" w:type="dxa"/>
            <w:right w:w="108" w:type="dxa"/>
          </w:tblCellMar>
        </w:tblPrEx>
        <w:trPr>
          <w:trHeight w:val="2310" w:hRule="atLeast"/>
        </w:trPr>
        <w:tc>
          <w:tcPr>
            <w:tcW w:w="849" w:type="dxa"/>
            <w:vMerge w:val="restart"/>
            <w:tcBorders>
              <w:top w:val="single" w:color="000000" w:sz="4" w:space="0"/>
              <w:left w:val="single" w:color="000000" w:sz="4" w:space="0"/>
              <w:bottom w:val="single" w:color="auto" w:sz="4" w:space="0"/>
              <w:right w:val="single" w:color="000000" w:sz="4" w:space="0"/>
            </w:tcBorders>
          </w:tcPr>
          <w:p>
            <w:pPr>
              <w:spacing w:after="160"/>
              <w:ind w:left="0"/>
              <w:rPr>
                <w:rFonts w:hint="eastAsia" w:ascii="仿宋_GB2312" w:hAnsi="仿宋_GB2312" w:eastAsia="仿宋_GB2312" w:cs="仿宋_GB2312"/>
                <w:sz w:val="18"/>
                <w:szCs w:val="18"/>
                <w:lang w:val="en-US" w:eastAsia="zh-CN"/>
              </w:rPr>
            </w:pPr>
          </w:p>
          <w:p>
            <w:pPr>
              <w:spacing w:after="160"/>
              <w:ind w:left="0"/>
              <w:rPr>
                <w:rFonts w:hint="eastAsia" w:ascii="仿宋_GB2312" w:hAnsi="仿宋_GB2312" w:eastAsia="仿宋_GB2312" w:cs="仿宋_GB2312"/>
                <w:sz w:val="18"/>
                <w:szCs w:val="18"/>
                <w:lang w:val="en-US" w:eastAsia="zh-CN"/>
              </w:rPr>
            </w:pPr>
          </w:p>
          <w:p>
            <w:pPr>
              <w:spacing w:after="160"/>
              <w:ind w:left="0"/>
              <w:rPr>
                <w:rFonts w:hint="eastAsia" w:ascii="仿宋_GB2312" w:hAnsi="仿宋_GB2312" w:eastAsia="仿宋_GB2312" w:cs="仿宋_GB2312"/>
                <w:sz w:val="18"/>
                <w:szCs w:val="18"/>
                <w:lang w:val="en-US" w:eastAsia="zh-CN"/>
              </w:rPr>
            </w:pPr>
          </w:p>
          <w:p>
            <w:pPr>
              <w:spacing w:after="160"/>
              <w:ind w:left="0"/>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w:t>
            </w:r>
          </w:p>
        </w:tc>
        <w:tc>
          <w:tcPr>
            <w:tcW w:w="1698" w:type="dxa"/>
            <w:vMerge w:val="restart"/>
            <w:tcBorders>
              <w:top w:val="single" w:color="000000" w:sz="4" w:space="0"/>
              <w:left w:val="single" w:color="000000" w:sz="4" w:space="0"/>
              <w:bottom w:val="single" w:color="auto" w:sz="4" w:space="0"/>
              <w:right w:val="single" w:color="000000" w:sz="4" w:space="0"/>
            </w:tcBorders>
          </w:tcPr>
          <w:p>
            <w:pPr>
              <w:spacing w:after="160"/>
              <w:ind w:left="0"/>
              <w:rPr>
                <w:rFonts w:hint="eastAsia" w:ascii="仿宋_GB2312" w:hAnsi="仿宋_GB2312" w:eastAsia="仿宋_GB2312" w:cs="仿宋_GB2312"/>
                <w:sz w:val="18"/>
                <w:szCs w:val="18"/>
              </w:rPr>
            </w:pPr>
          </w:p>
          <w:p>
            <w:pPr>
              <w:spacing w:after="160"/>
              <w:ind w:left="0"/>
              <w:rPr>
                <w:rFonts w:hint="eastAsia" w:ascii="仿宋_GB2312" w:hAnsi="仿宋_GB2312" w:eastAsia="仿宋_GB2312" w:cs="仿宋_GB2312"/>
                <w:sz w:val="18"/>
                <w:szCs w:val="18"/>
              </w:rPr>
            </w:pPr>
          </w:p>
          <w:p>
            <w:pPr>
              <w:spacing w:after="160"/>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对未经同意擅自占用城市绿化用地的处罚</w:t>
            </w:r>
          </w:p>
        </w:tc>
        <w:tc>
          <w:tcPr>
            <w:tcW w:w="3689" w:type="dxa"/>
            <w:vMerge w:val="restart"/>
            <w:tcBorders>
              <w:top w:val="single" w:color="000000" w:sz="4" w:space="0"/>
              <w:left w:val="single" w:color="000000" w:sz="4" w:space="0"/>
              <w:bottom w:val="single" w:color="auto" w:sz="4" w:space="0"/>
              <w:right w:val="single" w:color="000000" w:sz="4" w:space="0"/>
            </w:tcBorders>
          </w:tcPr>
          <w:p>
            <w:pPr>
              <w:spacing w:line="278" w:lineRule="auto"/>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新疆维吾尔自治区实施〈城市绿化条例〉办法》第二十二条:未经同意擅自占用城市绿化用地的，由城市绿化行政主管部门依法责令限期退还、恢复原状。对从事非经营活动的，对个人可处200元以下罚款，对单位可处1000元以下罚款；对从事经营活动的，有违法所得的，可处违法所得3倍以下罚款，但不得超过30000元，无违法所得的，可处10000元以下罚款；造成损失的，应当负赔偿责任。</w:t>
            </w:r>
          </w:p>
        </w:tc>
        <w:tc>
          <w:tcPr>
            <w:tcW w:w="1130" w:type="dxa"/>
            <w:tcBorders>
              <w:top w:val="single" w:color="000000" w:sz="4" w:space="0"/>
              <w:left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严重违法行为</w:t>
            </w:r>
          </w:p>
        </w:tc>
        <w:tc>
          <w:tcPr>
            <w:tcW w:w="3187" w:type="dxa"/>
            <w:tcBorders>
              <w:top w:val="single" w:color="000000" w:sz="4" w:space="0"/>
              <w:left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期限内未退还且不能恢复原状的</w:t>
            </w:r>
          </w:p>
        </w:tc>
        <w:tc>
          <w:tcPr>
            <w:tcW w:w="3484" w:type="dxa"/>
            <w:gridSpan w:val="2"/>
            <w:tcBorders>
              <w:top w:val="single" w:color="000000" w:sz="4" w:space="0"/>
              <w:left w:val="single" w:color="000000" w:sz="4" w:space="0"/>
              <w:bottom w:val="single" w:color="000000" w:sz="4" w:space="0"/>
              <w:right w:val="single" w:color="000000" w:sz="4" w:space="0"/>
            </w:tcBorders>
            <w:vAlign w:val="center"/>
          </w:tcPr>
          <w:p>
            <w:pPr>
              <w:ind w:left="1"/>
              <w:jc w:val="both"/>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rPr>
              <w:t>对从事非经营活动的，对个人可处200元罚款，对单位可处1000元罚款；对从事经营活动的，有违法所得的，可处违法所得3倍罚款，但不得超过3万元，无违法所得的，可处1万元罚款</w:t>
            </w:r>
            <w:r>
              <w:rPr>
                <w:rFonts w:hint="eastAsia" w:ascii="仿宋_GB2312" w:hAnsi="仿宋_GB2312" w:eastAsia="仿宋_GB2312" w:cs="仿宋_GB2312"/>
                <w:sz w:val="18"/>
                <w:szCs w:val="18"/>
                <w:lang w:eastAsia="zh-CN"/>
              </w:rPr>
              <w:t>。</w:t>
            </w:r>
          </w:p>
        </w:tc>
      </w:tr>
      <w:tr>
        <w:tblPrEx>
          <w:tblCellMar>
            <w:top w:w="62" w:type="dxa"/>
            <w:left w:w="107" w:type="dxa"/>
            <w:bottom w:w="0" w:type="dxa"/>
            <w:right w:w="9" w:type="dxa"/>
          </w:tblCellMar>
        </w:tblPrEx>
        <w:trPr>
          <w:trHeight w:val="634" w:hRule="atLeast"/>
        </w:trPr>
        <w:tc>
          <w:tcPr>
            <w:tcW w:w="849" w:type="dxa"/>
            <w:vMerge w:val="restart"/>
            <w:tcBorders>
              <w:top w:val="single" w:color="auto" w:sz="4" w:space="0"/>
              <w:left w:val="single" w:color="auto" w:sz="4" w:space="0"/>
              <w:bottom w:val="single" w:color="auto" w:sz="4" w:space="0"/>
              <w:right w:val="single" w:color="000000" w:sz="4" w:space="0"/>
            </w:tcBorders>
            <w:vAlign w:val="center"/>
          </w:tcPr>
          <w:p>
            <w:pPr>
              <w:ind w:left="0" w:right="100"/>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3</w:t>
            </w:r>
          </w:p>
        </w:tc>
        <w:tc>
          <w:tcPr>
            <w:tcW w:w="1698" w:type="dxa"/>
            <w:vMerge w:val="restart"/>
            <w:tcBorders>
              <w:top w:val="single" w:color="auto" w:sz="4" w:space="0"/>
              <w:left w:val="single" w:color="000000" w:sz="4" w:space="0"/>
              <w:bottom w:val="single" w:color="auto" w:sz="4" w:space="0"/>
              <w:right w:val="single" w:color="auto" w:sz="4" w:space="0"/>
            </w:tcBorders>
            <w:vAlign w:val="center"/>
          </w:tcPr>
          <w:p>
            <w:pPr>
              <w:ind w:left="1"/>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对将厨房、卫生间、阳台和地下储藏室等非原设计的房间出租的处罚</w:t>
            </w:r>
          </w:p>
        </w:tc>
        <w:tc>
          <w:tcPr>
            <w:tcW w:w="3689" w:type="dxa"/>
            <w:vMerge w:val="restart"/>
            <w:tcBorders>
              <w:top w:val="single" w:color="auto" w:sz="4" w:space="0"/>
              <w:left w:val="single" w:color="auto" w:sz="4" w:space="0"/>
              <w:bottom w:val="single" w:color="auto" w:sz="4" w:space="0"/>
              <w:right w:val="single" w:color="auto" w:sz="4" w:space="0"/>
            </w:tcBorders>
            <w:vAlign w:val="center"/>
          </w:tcPr>
          <w:p>
            <w:pPr>
              <w:spacing w:after="32"/>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【部门规章】《商品房屋租赁管理办法》</w:t>
            </w:r>
          </w:p>
          <w:p>
            <w:pPr>
              <w:spacing w:line="289" w:lineRule="auto"/>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(2010年12月1日住房和城乡建设部令第6号)</w:t>
            </w:r>
          </w:p>
          <w:p>
            <w:pPr>
              <w:spacing w:line="299" w:lineRule="auto"/>
              <w:ind w:left="0" w:right="173"/>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第八条</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出租住房的，应当以原设计的房间为最小出租单位，人均租住建筑面积不得低于当地人民政 府规定的最低标准。厨房、卫生间、阳台和地下储藏室不得出租供人员居住。</w:t>
            </w:r>
          </w:p>
          <w:p>
            <w:pPr>
              <w:spacing w:after="53"/>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第二十二条</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违反本办法第八条规定</w:t>
            </w:r>
          </w:p>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的，由直辖市、市、县人民政府建设(房地产)主管部门责令限期改正，逾期不改正的，可处以五千元以上三万元以下罚款。</w:t>
            </w:r>
          </w:p>
        </w:tc>
        <w:tc>
          <w:tcPr>
            <w:tcW w:w="1130" w:type="dxa"/>
            <w:tcBorders>
              <w:top w:val="single" w:color="000000" w:sz="4" w:space="0"/>
              <w:left w:val="single" w:color="auto"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一般违法行为</w:t>
            </w:r>
          </w:p>
        </w:tc>
        <w:tc>
          <w:tcPr>
            <w:tcW w:w="3187"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订立合同但尚未实际使用的</w:t>
            </w:r>
          </w:p>
        </w:tc>
        <w:tc>
          <w:tcPr>
            <w:tcW w:w="3484" w:type="dxa"/>
            <w:gridSpan w:val="2"/>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处5000元罚款。</w:t>
            </w:r>
          </w:p>
        </w:tc>
      </w:tr>
      <w:tr>
        <w:tblPrEx>
          <w:tblCellMar>
            <w:top w:w="62" w:type="dxa"/>
            <w:left w:w="107" w:type="dxa"/>
            <w:bottom w:w="0" w:type="dxa"/>
            <w:right w:w="9" w:type="dxa"/>
          </w:tblCellMar>
        </w:tblPrEx>
        <w:trPr>
          <w:trHeight w:val="946" w:hRule="atLeast"/>
        </w:trPr>
        <w:tc>
          <w:tcPr>
            <w:tcW w:w="849" w:type="dxa"/>
            <w:vMerge w:val="continue"/>
            <w:tcBorders>
              <w:top w:val="single" w:color="auto" w:sz="4" w:space="0"/>
              <w:left w:val="single" w:color="auto" w:sz="4" w:space="0"/>
              <w:bottom w:val="single" w:color="auto" w:sz="4" w:space="0"/>
              <w:right w:val="single" w:color="000000" w:sz="4" w:space="0"/>
            </w:tcBorders>
          </w:tcPr>
          <w:p>
            <w:pPr>
              <w:spacing w:after="160"/>
              <w:ind w:left="0"/>
              <w:rPr>
                <w:rFonts w:hint="eastAsia" w:ascii="仿宋_GB2312" w:hAnsi="仿宋_GB2312" w:eastAsia="仿宋_GB2312" w:cs="仿宋_GB2312"/>
                <w:sz w:val="18"/>
                <w:szCs w:val="18"/>
              </w:rPr>
            </w:pPr>
          </w:p>
        </w:tc>
        <w:tc>
          <w:tcPr>
            <w:tcW w:w="1698" w:type="dxa"/>
            <w:vMerge w:val="continue"/>
            <w:tcBorders>
              <w:top w:val="single" w:color="auto" w:sz="4" w:space="0"/>
              <w:left w:val="single" w:color="000000" w:sz="4" w:space="0"/>
              <w:bottom w:val="single" w:color="auto" w:sz="4" w:space="0"/>
              <w:right w:val="single" w:color="auto" w:sz="4" w:space="0"/>
            </w:tcBorders>
          </w:tcPr>
          <w:p>
            <w:pPr>
              <w:spacing w:after="160"/>
              <w:ind w:left="0"/>
              <w:rPr>
                <w:rFonts w:hint="eastAsia" w:ascii="仿宋_GB2312" w:hAnsi="仿宋_GB2312" w:eastAsia="仿宋_GB2312" w:cs="仿宋_GB2312"/>
                <w:sz w:val="18"/>
                <w:szCs w:val="18"/>
              </w:rPr>
            </w:pPr>
          </w:p>
        </w:tc>
        <w:tc>
          <w:tcPr>
            <w:tcW w:w="3689" w:type="dxa"/>
            <w:vMerge w:val="continue"/>
            <w:tcBorders>
              <w:top w:val="single" w:color="auto" w:sz="4" w:space="0"/>
              <w:left w:val="single" w:color="auto" w:sz="4" w:space="0"/>
              <w:bottom w:val="single" w:color="auto" w:sz="4" w:space="0"/>
              <w:right w:val="single" w:color="auto" w:sz="4" w:space="0"/>
            </w:tcBorders>
            <w:vAlign w:val="center"/>
          </w:tcPr>
          <w:p>
            <w:pPr>
              <w:spacing w:after="160"/>
              <w:ind w:left="0"/>
              <w:jc w:val="center"/>
              <w:rPr>
                <w:rFonts w:hint="eastAsia" w:ascii="仿宋_GB2312" w:hAnsi="仿宋_GB2312" w:eastAsia="仿宋_GB2312" w:cs="仿宋_GB2312"/>
                <w:sz w:val="18"/>
                <w:szCs w:val="18"/>
              </w:rPr>
            </w:pPr>
          </w:p>
        </w:tc>
        <w:tc>
          <w:tcPr>
            <w:tcW w:w="1130" w:type="dxa"/>
            <w:tcBorders>
              <w:top w:val="single" w:color="000000" w:sz="4" w:space="0"/>
              <w:left w:val="single" w:color="auto"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较重违法行为</w:t>
            </w:r>
          </w:p>
        </w:tc>
        <w:tc>
          <w:tcPr>
            <w:tcW w:w="3187"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订立合同并实际使用的，出租房间数为2间或一间房间超过1人使用的</w:t>
            </w:r>
          </w:p>
        </w:tc>
        <w:tc>
          <w:tcPr>
            <w:tcW w:w="3484" w:type="dxa"/>
            <w:gridSpan w:val="2"/>
            <w:tcBorders>
              <w:top w:val="single" w:color="000000" w:sz="4" w:space="0"/>
              <w:left w:val="single" w:color="000000" w:sz="4" w:space="0"/>
              <w:bottom w:val="single" w:color="auto"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处5000元以上1.5万元以下罚款。</w:t>
            </w:r>
          </w:p>
        </w:tc>
      </w:tr>
      <w:tr>
        <w:tblPrEx>
          <w:tblCellMar>
            <w:top w:w="62" w:type="dxa"/>
            <w:left w:w="107" w:type="dxa"/>
            <w:bottom w:w="0" w:type="dxa"/>
            <w:right w:w="9" w:type="dxa"/>
          </w:tblCellMar>
        </w:tblPrEx>
        <w:trPr>
          <w:trHeight w:val="2486" w:hRule="atLeast"/>
        </w:trPr>
        <w:tc>
          <w:tcPr>
            <w:tcW w:w="849" w:type="dxa"/>
            <w:vMerge w:val="continue"/>
            <w:tcBorders>
              <w:top w:val="single" w:color="auto" w:sz="4" w:space="0"/>
              <w:left w:val="single" w:color="auto" w:sz="4" w:space="0"/>
              <w:bottom w:val="single" w:color="auto" w:sz="4" w:space="0"/>
              <w:right w:val="single" w:color="000000" w:sz="4" w:space="0"/>
            </w:tcBorders>
          </w:tcPr>
          <w:p>
            <w:pPr>
              <w:spacing w:after="160"/>
              <w:ind w:left="0"/>
              <w:rPr>
                <w:rFonts w:hint="eastAsia" w:ascii="仿宋_GB2312" w:hAnsi="仿宋_GB2312" w:eastAsia="仿宋_GB2312" w:cs="仿宋_GB2312"/>
                <w:sz w:val="18"/>
                <w:szCs w:val="18"/>
              </w:rPr>
            </w:pPr>
          </w:p>
        </w:tc>
        <w:tc>
          <w:tcPr>
            <w:tcW w:w="1698" w:type="dxa"/>
            <w:vMerge w:val="continue"/>
            <w:tcBorders>
              <w:top w:val="single" w:color="auto" w:sz="4" w:space="0"/>
              <w:left w:val="single" w:color="000000" w:sz="4" w:space="0"/>
              <w:bottom w:val="single" w:color="auto" w:sz="4" w:space="0"/>
              <w:right w:val="single" w:color="auto" w:sz="4" w:space="0"/>
            </w:tcBorders>
          </w:tcPr>
          <w:p>
            <w:pPr>
              <w:spacing w:after="160"/>
              <w:ind w:left="0"/>
              <w:rPr>
                <w:rFonts w:hint="eastAsia" w:ascii="仿宋_GB2312" w:hAnsi="仿宋_GB2312" w:eastAsia="仿宋_GB2312" w:cs="仿宋_GB2312"/>
                <w:sz w:val="18"/>
                <w:szCs w:val="18"/>
              </w:rPr>
            </w:pPr>
          </w:p>
        </w:tc>
        <w:tc>
          <w:tcPr>
            <w:tcW w:w="3689" w:type="dxa"/>
            <w:vMerge w:val="continue"/>
            <w:tcBorders>
              <w:top w:val="single" w:color="auto" w:sz="4" w:space="0"/>
              <w:left w:val="single" w:color="auto" w:sz="4" w:space="0"/>
              <w:bottom w:val="single" w:color="auto" w:sz="4" w:space="0"/>
              <w:right w:val="single" w:color="auto" w:sz="4" w:space="0"/>
            </w:tcBorders>
            <w:vAlign w:val="center"/>
          </w:tcPr>
          <w:p>
            <w:pPr>
              <w:spacing w:after="160"/>
              <w:ind w:left="0"/>
              <w:jc w:val="center"/>
              <w:rPr>
                <w:rFonts w:hint="eastAsia" w:ascii="仿宋_GB2312" w:hAnsi="仿宋_GB2312" w:eastAsia="仿宋_GB2312" w:cs="仿宋_GB2312"/>
                <w:sz w:val="18"/>
                <w:szCs w:val="18"/>
              </w:rPr>
            </w:pPr>
          </w:p>
        </w:tc>
        <w:tc>
          <w:tcPr>
            <w:tcW w:w="1130" w:type="dxa"/>
            <w:tcBorders>
              <w:top w:val="single" w:color="000000" w:sz="4" w:space="0"/>
              <w:left w:val="single" w:color="auto"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严重违法行为</w:t>
            </w:r>
          </w:p>
        </w:tc>
        <w:tc>
          <w:tcPr>
            <w:tcW w:w="3187" w:type="dxa"/>
            <w:tcBorders>
              <w:top w:val="single" w:color="000000" w:sz="4" w:space="0"/>
              <w:left w:val="single" w:color="000000" w:sz="4" w:space="0"/>
              <w:bottom w:val="single" w:color="000000" w:sz="4" w:space="0"/>
              <w:right w:val="single" w:color="auto"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订立合同并实际使用的，出租房间数超过2间的</w:t>
            </w:r>
          </w:p>
        </w:tc>
        <w:tc>
          <w:tcPr>
            <w:tcW w:w="3484" w:type="dxa"/>
            <w:gridSpan w:val="2"/>
            <w:tcBorders>
              <w:top w:val="single" w:color="auto" w:sz="4" w:space="0"/>
              <w:left w:val="single" w:color="auto" w:sz="4" w:space="0"/>
              <w:bottom w:val="single" w:color="000000" w:sz="4" w:space="0"/>
              <w:right w:val="single" w:color="auto"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处1</w:t>
            </w:r>
            <w:r>
              <w:rPr>
                <w:rFonts w:hint="eastAsia" w:ascii="仿宋_GB2312" w:hAnsi="仿宋_GB2312" w:eastAsia="仿宋_GB2312" w:cs="仿宋_GB2312"/>
                <w:sz w:val="18"/>
                <w:szCs w:val="18"/>
                <w:lang w:val="en-US" w:eastAsia="zh-CN"/>
              </w:rPr>
              <w:t>.</w:t>
            </w:r>
            <w:r>
              <w:rPr>
                <w:rFonts w:hint="eastAsia" w:ascii="仿宋_GB2312" w:hAnsi="仿宋_GB2312" w:eastAsia="仿宋_GB2312" w:cs="仿宋_GB2312"/>
                <w:sz w:val="18"/>
                <w:szCs w:val="18"/>
              </w:rPr>
              <w:t>5万元以上3万元以下罚款。</w:t>
            </w:r>
          </w:p>
        </w:tc>
      </w:tr>
      <w:tr>
        <w:tblPrEx>
          <w:tblCellMar>
            <w:top w:w="56" w:type="dxa"/>
            <w:left w:w="107" w:type="dxa"/>
            <w:bottom w:w="53" w:type="dxa"/>
            <w:right w:w="9" w:type="dxa"/>
          </w:tblCellMar>
        </w:tblPrEx>
        <w:trPr>
          <w:trHeight w:val="910" w:hRule="atLeast"/>
        </w:trPr>
        <w:tc>
          <w:tcPr>
            <w:tcW w:w="849" w:type="dxa"/>
            <w:vMerge w:val="continue"/>
            <w:tcBorders>
              <w:top w:val="single" w:color="auto" w:sz="4" w:space="0"/>
              <w:left w:val="single" w:color="auto" w:sz="4" w:space="0"/>
              <w:bottom w:val="single" w:color="auto" w:sz="4" w:space="0"/>
              <w:right w:val="single" w:color="000000" w:sz="4" w:space="0"/>
            </w:tcBorders>
          </w:tcPr>
          <w:p>
            <w:pPr>
              <w:spacing w:after="160"/>
              <w:ind w:left="0"/>
              <w:rPr>
                <w:rFonts w:hint="eastAsia" w:ascii="仿宋_GB2312" w:hAnsi="仿宋_GB2312" w:eastAsia="仿宋_GB2312" w:cs="仿宋_GB2312"/>
                <w:sz w:val="18"/>
                <w:szCs w:val="18"/>
              </w:rPr>
            </w:pPr>
          </w:p>
        </w:tc>
        <w:tc>
          <w:tcPr>
            <w:tcW w:w="1698" w:type="dxa"/>
            <w:vMerge w:val="continue"/>
            <w:tcBorders>
              <w:top w:val="single" w:color="auto" w:sz="4" w:space="0"/>
              <w:left w:val="single" w:color="000000" w:sz="4" w:space="0"/>
              <w:bottom w:val="single" w:color="auto" w:sz="4" w:space="0"/>
              <w:right w:val="single" w:color="auto" w:sz="4" w:space="0"/>
            </w:tcBorders>
          </w:tcPr>
          <w:p>
            <w:pPr>
              <w:spacing w:after="160"/>
              <w:ind w:left="0"/>
              <w:rPr>
                <w:rFonts w:hint="eastAsia" w:ascii="仿宋_GB2312" w:hAnsi="仿宋_GB2312" w:eastAsia="仿宋_GB2312" w:cs="仿宋_GB2312"/>
                <w:sz w:val="18"/>
                <w:szCs w:val="18"/>
              </w:rPr>
            </w:pPr>
          </w:p>
        </w:tc>
        <w:tc>
          <w:tcPr>
            <w:tcW w:w="3689" w:type="dxa"/>
            <w:vMerge w:val="continue"/>
            <w:tcBorders>
              <w:top w:val="single" w:color="auto" w:sz="4" w:space="0"/>
              <w:left w:val="single" w:color="auto" w:sz="4" w:space="0"/>
              <w:bottom w:val="single" w:color="auto" w:sz="4" w:space="0"/>
              <w:right w:val="single" w:color="auto" w:sz="4" w:space="0"/>
            </w:tcBorders>
            <w:vAlign w:val="center"/>
          </w:tcPr>
          <w:p>
            <w:pPr>
              <w:spacing w:after="160"/>
              <w:ind w:left="0"/>
              <w:jc w:val="center"/>
              <w:rPr>
                <w:rFonts w:hint="eastAsia" w:ascii="仿宋_GB2312" w:hAnsi="仿宋_GB2312" w:eastAsia="仿宋_GB2312" w:cs="仿宋_GB2312"/>
                <w:sz w:val="18"/>
                <w:szCs w:val="18"/>
              </w:rPr>
            </w:pPr>
          </w:p>
        </w:tc>
        <w:tc>
          <w:tcPr>
            <w:tcW w:w="1130" w:type="dxa"/>
            <w:tcBorders>
              <w:top w:val="single" w:color="000000" w:sz="4" w:space="0"/>
              <w:left w:val="single" w:color="auto"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情节一般</w:t>
            </w:r>
          </w:p>
        </w:tc>
        <w:tc>
          <w:tcPr>
            <w:tcW w:w="3187" w:type="dxa"/>
            <w:tcBorders>
              <w:top w:val="single" w:color="000000" w:sz="4" w:space="0"/>
              <w:left w:val="single" w:color="000000" w:sz="4" w:space="0"/>
              <w:bottom w:val="single" w:color="000000" w:sz="4" w:space="0"/>
              <w:right w:val="single" w:color="auto" w:sz="4" w:space="0"/>
            </w:tcBorders>
            <w:vAlign w:val="center"/>
          </w:tcPr>
          <w:p>
            <w:pPr>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违法行为造成损坏较大，在规定期限内停止违法行为，恢复原状，采取补救措施的。</w:t>
            </w:r>
          </w:p>
        </w:tc>
        <w:tc>
          <w:tcPr>
            <w:tcW w:w="3484" w:type="dxa"/>
            <w:gridSpan w:val="2"/>
            <w:tcBorders>
              <w:top w:val="single" w:color="000000" w:sz="4" w:space="0"/>
              <w:left w:val="single" w:color="auto" w:sz="4" w:space="0"/>
              <w:bottom w:val="single" w:color="auto" w:sz="4" w:space="0"/>
              <w:right w:val="single" w:color="auto" w:sz="4" w:space="0"/>
            </w:tcBorders>
            <w:vAlign w:val="center"/>
          </w:tcPr>
          <w:p>
            <w:pPr>
              <w:spacing w:after="160"/>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可以给予警告；没收违法所得；处三千元以上五千元以下的罚款。</w:t>
            </w:r>
          </w:p>
        </w:tc>
      </w:tr>
      <w:tr>
        <w:tblPrEx>
          <w:tblCellMar>
            <w:top w:w="56" w:type="dxa"/>
            <w:left w:w="107" w:type="dxa"/>
            <w:bottom w:w="53" w:type="dxa"/>
            <w:right w:w="9" w:type="dxa"/>
          </w:tblCellMar>
        </w:tblPrEx>
        <w:trPr>
          <w:trHeight w:val="2108" w:hRule="atLeast"/>
        </w:trPr>
        <w:tc>
          <w:tcPr>
            <w:tcW w:w="849" w:type="dxa"/>
            <w:tcBorders>
              <w:top w:val="single" w:color="auto" w:sz="4" w:space="0"/>
              <w:left w:val="single" w:color="auto" w:sz="4" w:space="0"/>
              <w:bottom w:val="single" w:color="auto" w:sz="4" w:space="0"/>
              <w:right w:val="single" w:color="000000" w:sz="4" w:space="0"/>
            </w:tcBorders>
          </w:tcPr>
          <w:p>
            <w:pPr>
              <w:spacing w:after="160"/>
              <w:ind w:left="0"/>
              <w:rPr>
                <w:rFonts w:hint="eastAsia" w:ascii="仿宋_GB2312" w:hAnsi="仿宋_GB2312" w:eastAsia="仿宋_GB2312" w:cs="仿宋_GB2312"/>
                <w:sz w:val="18"/>
                <w:szCs w:val="18"/>
                <w:lang w:val="en-US" w:eastAsia="zh-CN"/>
              </w:rPr>
            </w:pPr>
          </w:p>
          <w:p>
            <w:pPr>
              <w:spacing w:after="160"/>
              <w:ind w:left="0"/>
              <w:rPr>
                <w:rFonts w:hint="eastAsia" w:ascii="仿宋_GB2312" w:hAnsi="仿宋_GB2312" w:eastAsia="仿宋_GB2312" w:cs="仿宋_GB2312"/>
                <w:sz w:val="18"/>
                <w:szCs w:val="18"/>
                <w:lang w:val="en-US" w:eastAsia="zh-CN"/>
              </w:rPr>
            </w:pPr>
          </w:p>
          <w:p>
            <w:pPr>
              <w:spacing w:after="160"/>
              <w:ind w:left="0"/>
              <w:rPr>
                <w:rFonts w:hint="eastAsia" w:ascii="仿宋_GB2312" w:hAnsi="仿宋_GB2312" w:eastAsia="仿宋_GB2312" w:cs="仿宋_GB2312"/>
                <w:sz w:val="18"/>
                <w:szCs w:val="18"/>
                <w:lang w:val="en-US" w:eastAsia="zh-CN"/>
              </w:rPr>
            </w:pPr>
          </w:p>
          <w:p>
            <w:pPr>
              <w:spacing w:after="160"/>
              <w:ind w:left="0"/>
              <w:rPr>
                <w:rFonts w:hint="eastAsia" w:ascii="仿宋_GB2312" w:hAnsi="仿宋_GB2312" w:eastAsia="仿宋_GB2312" w:cs="仿宋_GB2312"/>
                <w:sz w:val="18"/>
                <w:szCs w:val="18"/>
                <w:lang w:val="en-US" w:eastAsia="zh-CN"/>
              </w:rPr>
            </w:pPr>
          </w:p>
          <w:p>
            <w:pPr>
              <w:spacing w:after="160"/>
              <w:ind w:left="0"/>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3</w:t>
            </w:r>
          </w:p>
        </w:tc>
        <w:tc>
          <w:tcPr>
            <w:tcW w:w="1698" w:type="dxa"/>
            <w:tcBorders>
              <w:top w:val="single" w:color="auto" w:sz="4" w:space="0"/>
              <w:left w:val="single" w:color="000000" w:sz="4" w:space="0"/>
              <w:bottom w:val="single" w:color="auto" w:sz="4" w:space="0"/>
              <w:right w:val="single" w:color="auto" w:sz="4" w:space="0"/>
            </w:tcBorders>
          </w:tcPr>
          <w:p>
            <w:pPr>
              <w:spacing w:after="160"/>
              <w:ind w:left="0"/>
              <w:rPr>
                <w:rFonts w:hint="eastAsia" w:ascii="仿宋_GB2312" w:hAnsi="仿宋_GB2312" w:eastAsia="仿宋_GB2312" w:cs="仿宋_GB2312"/>
                <w:sz w:val="18"/>
                <w:szCs w:val="18"/>
              </w:rPr>
            </w:pPr>
          </w:p>
          <w:p>
            <w:pPr>
              <w:spacing w:after="160"/>
              <w:ind w:left="0"/>
              <w:rPr>
                <w:rFonts w:hint="eastAsia" w:ascii="仿宋_GB2312" w:hAnsi="仿宋_GB2312" w:eastAsia="仿宋_GB2312" w:cs="仿宋_GB2312"/>
                <w:sz w:val="18"/>
                <w:szCs w:val="18"/>
              </w:rPr>
            </w:pPr>
          </w:p>
          <w:p>
            <w:pPr>
              <w:spacing w:after="160"/>
              <w:ind w:left="0"/>
              <w:rPr>
                <w:rFonts w:hint="eastAsia" w:ascii="仿宋_GB2312" w:hAnsi="仿宋_GB2312" w:eastAsia="仿宋_GB2312" w:cs="仿宋_GB2312"/>
                <w:sz w:val="18"/>
                <w:szCs w:val="18"/>
              </w:rPr>
            </w:pPr>
          </w:p>
          <w:p>
            <w:pPr>
              <w:spacing w:after="160"/>
              <w:ind w:left="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对将厨房、卫生间、阳台和地下储藏室等非原设计的房间出租的处罚</w:t>
            </w:r>
          </w:p>
        </w:tc>
        <w:tc>
          <w:tcPr>
            <w:tcW w:w="3689" w:type="dxa"/>
            <w:tcBorders>
              <w:top w:val="single" w:color="auto" w:sz="4" w:space="0"/>
              <w:left w:val="single" w:color="auto" w:sz="4" w:space="0"/>
              <w:bottom w:val="single" w:color="auto" w:sz="4" w:space="0"/>
              <w:right w:val="single" w:color="auto" w:sz="4" w:space="0"/>
            </w:tcBorders>
          </w:tcPr>
          <w:p>
            <w:pPr>
              <w:spacing w:after="32"/>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【部门规章】《商品房屋租赁管理办法》</w:t>
            </w:r>
          </w:p>
          <w:p>
            <w:pPr>
              <w:spacing w:line="289" w:lineRule="auto"/>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(2010年12月1日住房和城乡建设部令第6号)</w:t>
            </w:r>
          </w:p>
          <w:p>
            <w:pPr>
              <w:spacing w:line="299" w:lineRule="auto"/>
              <w:ind w:left="0" w:right="173"/>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第八条</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出租住房的，应当以原设计的房间为最小出租单位，人均租住建筑面积不得低于当地人民政府规定的最低标准。厨房、卫生间、阳台和地下储藏室不得出租供人员居住。</w:t>
            </w:r>
          </w:p>
          <w:p>
            <w:pPr>
              <w:spacing w:after="53"/>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第二十二条</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违反本办法第八条规定</w:t>
            </w:r>
          </w:p>
          <w:p>
            <w:pPr>
              <w:spacing w:after="160"/>
              <w:ind w:left="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的，由直辖市、市、县人民政府建设(房地产)主管部门责 令限期改正，逾期不改正的，可处以五千元以上三万元以下罚款。</w:t>
            </w:r>
          </w:p>
        </w:tc>
        <w:tc>
          <w:tcPr>
            <w:tcW w:w="1130" w:type="dxa"/>
            <w:tcBorders>
              <w:top w:val="single" w:color="000000" w:sz="4" w:space="0"/>
              <w:left w:val="single" w:color="auto" w:sz="4" w:space="0"/>
              <w:bottom w:val="single" w:color="000000" w:sz="4" w:space="0"/>
              <w:right w:val="single" w:color="000000" w:sz="4" w:space="0"/>
            </w:tcBorders>
            <w:vAlign w:val="center"/>
          </w:tcPr>
          <w:p>
            <w:pPr>
              <w:ind w:left="0" w:leftChars="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情节较重</w:t>
            </w:r>
          </w:p>
        </w:tc>
        <w:tc>
          <w:tcPr>
            <w:tcW w:w="3187" w:type="dxa"/>
            <w:tcBorders>
              <w:top w:val="single" w:color="000000" w:sz="4" w:space="0"/>
              <w:left w:val="single" w:color="000000" w:sz="4" w:space="0"/>
              <w:bottom w:val="single" w:color="000000" w:sz="4" w:space="0"/>
              <w:right w:val="single" w:color="000000" w:sz="4" w:space="0"/>
            </w:tcBorders>
            <w:vAlign w:val="top"/>
          </w:tcPr>
          <w:p>
            <w:pPr>
              <w:spacing w:after="20"/>
              <w:ind w:left="0"/>
              <w:rPr>
                <w:rFonts w:hint="eastAsia" w:ascii="仿宋_GB2312" w:hAnsi="仿宋_GB2312" w:eastAsia="仿宋_GB2312" w:cs="仿宋_GB2312"/>
                <w:sz w:val="18"/>
                <w:szCs w:val="18"/>
              </w:rPr>
            </w:pPr>
          </w:p>
          <w:p>
            <w:pPr>
              <w:spacing w:after="20"/>
              <w:ind w:left="0"/>
              <w:rPr>
                <w:rFonts w:hint="eastAsia" w:ascii="仿宋_GB2312" w:hAnsi="仿宋_GB2312" w:eastAsia="仿宋_GB2312" w:cs="仿宋_GB2312"/>
                <w:sz w:val="18"/>
                <w:szCs w:val="18"/>
              </w:rPr>
            </w:pPr>
          </w:p>
          <w:p>
            <w:pPr>
              <w:spacing w:after="20"/>
              <w:ind w:left="0"/>
              <w:rPr>
                <w:rFonts w:hint="eastAsia" w:ascii="仿宋_GB2312" w:hAnsi="仿宋_GB2312" w:eastAsia="仿宋_GB2312" w:cs="仿宋_GB2312"/>
                <w:sz w:val="18"/>
                <w:szCs w:val="18"/>
              </w:rPr>
            </w:pPr>
          </w:p>
          <w:p>
            <w:pPr>
              <w:spacing w:after="20"/>
              <w:ind w:left="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存在下列情形之一：</w:t>
            </w:r>
          </w:p>
          <w:p>
            <w:pPr>
              <w:numPr>
                <w:ilvl w:val="0"/>
                <w:numId w:val="1"/>
              </w:numPr>
              <w:spacing w:line="278" w:lineRule="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违法行为造成损坏重大，在规定期限内停止违法行为，恢复原状，采取补救措施的；</w:t>
            </w:r>
          </w:p>
          <w:p>
            <w:pPr>
              <w:numPr>
                <w:ilvl w:val="0"/>
                <w:numId w:val="1"/>
              </w:numPr>
              <w:ind w:left="0" w:leftChars="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在规定期限内拒不停止违法行为、未恢复原状、未采取补救措施的。</w:t>
            </w:r>
          </w:p>
        </w:tc>
        <w:tc>
          <w:tcPr>
            <w:tcW w:w="2336" w:type="dxa"/>
            <w:tcBorders>
              <w:top w:val="single" w:color="auto" w:sz="4" w:space="0"/>
              <w:left w:val="single" w:color="000000" w:sz="4" w:space="0"/>
              <w:bottom w:val="single" w:color="000000" w:sz="4" w:space="0"/>
              <w:right w:val="single" w:color="000000" w:sz="4" w:space="0"/>
            </w:tcBorders>
            <w:vAlign w:val="center"/>
          </w:tcPr>
          <w:p>
            <w:pPr>
              <w:ind w:left="1" w:leftChars="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可以给予警告；没收违法所得；处五千元以上一万元以下的罚款。</w:t>
            </w:r>
          </w:p>
        </w:tc>
        <w:tc>
          <w:tcPr>
            <w:tcW w:w="1148" w:type="dxa"/>
            <w:tcBorders>
              <w:top w:val="single" w:color="auto" w:sz="4" w:space="0"/>
              <w:left w:val="single" w:color="000000" w:sz="4" w:space="0"/>
              <w:bottom w:val="single" w:color="000000" w:sz="4" w:space="0"/>
              <w:right w:val="single" w:color="auto" w:sz="4" w:space="0"/>
            </w:tcBorders>
          </w:tcPr>
          <w:p>
            <w:pPr>
              <w:spacing w:after="160"/>
              <w:ind w:left="0"/>
              <w:rPr>
                <w:rFonts w:hint="eastAsia" w:ascii="仿宋_GB2312" w:hAnsi="仿宋_GB2312" w:eastAsia="仿宋_GB2312" w:cs="仿宋_GB2312"/>
                <w:sz w:val="18"/>
                <w:szCs w:val="18"/>
              </w:rPr>
            </w:pPr>
          </w:p>
        </w:tc>
      </w:tr>
    </w:tbl>
    <w:p>
      <w:pPr>
        <w:ind w:left="-6022" w:right="79"/>
        <w:rPr>
          <w:rFonts w:hint="eastAsia" w:ascii="仿宋_GB2312" w:hAnsi="仿宋_GB2312" w:eastAsia="仿宋_GB2312" w:cs="仿宋_GB2312"/>
          <w:sz w:val="18"/>
          <w:szCs w:val="18"/>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6022" w:right="79"/>
        <w:rPr>
          <w:rFonts w:hint="eastAsia" w:ascii="仿宋_GB2312" w:hAnsi="仿宋_GB2312" w:eastAsia="仿宋_GB2312" w:cs="仿宋_GB2312"/>
        </w:rPr>
      </w:pPr>
    </w:p>
    <w:p>
      <w:pPr>
        <w:ind w:left="0" w:leftChars="0" w:right="773" w:firstLine="0" w:firstLineChars="0"/>
        <w:rPr>
          <w:rFonts w:hint="eastAsia" w:ascii="仿宋_GB2312" w:hAnsi="仿宋_GB2312" w:eastAsia="仿宋_GB2312" w:cs="仿宋_GB2312"/>
          <w:sz w:val="36"/>
        </w:rPr>
      </w:pPr>
    </w:p>
    <w:p>
      <w:pPr>
        <w:ind w:left="540" w:right="773" w:hanging="180"/>
        <w:rPr>
          <w:rFonts w:hint="eastAsia" w:ascii="仿宋_GB2312" w:hAnsi="仿宋_GB2312" w:eastAsia="仿宋_GB2312" w:cs="仿宋_GB2312"/>
        </w:rPr>
      </w:pPr>
      <w:r>
        <w:rPr>
          <w:rFonts w:hint="eastAsia" w:ascii="仿宋_GB2312" w:hAnsi="仿宋_GB2312" w:eastAsia="仿宋_GB2312" w:cs="仿宋_GB2312"/>
          <w:sz w:val="36"/>
          <w:lang w:eastAsia="zh-CN"/>
        </w:rPr>
        <w:t>银河路街道</w:t>
      </w:r>
      <w:r>
        <w:rPr>
          <w:rFonts w:hint="eastAsia" w:ascii="仿宋_GB2312" w:hAnsi="仿宋_GB2312" w:eastAsia="仿宋_GB2312" w:cs="仿宋_GB2312"/>
          <w:sz w:val="36"/>
        </w:rPr>
        <w:t>不予处罚事项清单</w:t>
      </w:r>
    </w:p>
    <w:tbl>
      <w:tblPr>
        <w:tblStyle w:val="5"/>
        <w:tblW w:w="13060" w:type="dxa"/>
        <w:tblInd w:w="-4053" w:type="dxa"/>
        <w:tblLayout w:type="autofit"/>
        <w:tblCellMar>
          <w:top w:w="59" w:type="dxa"/>
          <w:left w:w="107" w:type="dxa"/>
          <w:bottom w:w="54" w:type="dxa"/>
          <w:right w:w="109" w:type="dxa"/>
        </w:tblCellMar>
      </w:tblPr>
      <w:tblGrid>
        <w:gridCol w:w="747"/>
        <w:gridCol w:w="2685"/>
        <w:gridCol w:w="2865"/>
        <w:gridCol w:w="5683"/>
        <w:gridCol w:w="1080"/>
      </w:tblGrid>
      <w:tr>
        <w:tblPrEx>
          <w:tblCellMar>
            <w:top w:w="59" w:type="dxa"/>
            <w:left w:w="107" w:type="dxa"/>
            <w:bottom w:w="54" w:type="dxa"/>
            <w:right w:w="109" w:type="dxa"/>
          </w:tblCellMar>
        </w:tblPrEx>
        <w:trPr>
          <w:trHeight w:val="625" w:hRule="atLeast"/>
        </w:trPr>
        <w:tc>
          <w:tcPr>
            <w:tcW w:w="747" w:type="dxa"/>
            <w:tcBorders>
              <w:top w:val="single" w:color="000000" w:sz="4" w:space="0"/>
              <w:left w:val="single" w:color="000000" w:sz="4" w:space="0"/>
              <w:bottom w:val="single" w:color="000000" w:sz="4" w:space="0"/>
              <w:right w:val="single" w:color="000000" w:sz="4" w:space="0"/>
            </w:tcBorders>
            <w:vAlign w:val="center"/>
          </w:tcPr>
          <w:p>
            <w:pPr>
              <w:ind w:left="26"/>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序号</w:t>
            </w:r>
          </w:p>
        </w:tc>
        <w:tc>
          <w:tcPr>
            <w:tcW w:w="2685" w:type="dxa"/>
            <w:tcBorders>
              <w:top w:val="single" w:color="000000" w:sz="4" w:space="0"/>
              <w:left w:val="single" w:color="000000" w:sz="4" w:space="0"/>
              <w:bottom w:val="single" w:color="000000" w:sz="4" w:space="0"/>
              <w:right w:val="single" w:color="000000" w:sz="4" w:space="0"/>
            </w:tcBorders>
            <w:vAlign w:val="center"/>
          </w:tcPr>
          <w:p>
            <w:pPr>
              <w:ind w:left="2"/>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处罚事项名称</w:t>
            </w:r>
          </w:p>
        </w:tc>
        <w:tc>
          <w:tcPr>
            <w:tcW w:w="2865" w:type="dxa"/>
            <w:tcBorders>
              <w:top w:val="single" w:color="000000" w:sz="4" w:space="0"/>
              <w:left w:val="single" w:color="000000" w:sz="4" w:space="0"/>
              <w:bottom w:val="single" w:color="000000" w:sz="4" w:space="0"/>
              <w:right w:val="single" w:color="000000" w:sz="4" w:space="0"/>
            </w:tcBorders>
            <w:vAlign w:val="center"/>
          </w:tcPr>
          <w:p>
            <w:pPr>
              <w:ind w:left="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不予处罚的情形</w:t>
            </w:r>
          </w:p>
        </w:tc>
        <w:tc>
          <w:tcPr>
            <w:tcW w:w="5683" w:type="dxa"/>
            <w:tcBorders>
              <w:top w:val="single" w:color="000000" w:sz="4" w:space="0"/>
              <w:left w:val="single" w:color="000000" w:sz="4" w:space="0"/>
              <w:bottom w:val="single" w:color="000000" w:sz="4" w:space="0"/>
              <w:right w:val="single" w:color="000000" w:sz="4" w:space="0"/>
            </w:tcBorders>
            <w:vAlign w:val="center"/>
          </w:tcPr>
          <w:p>
            <w:pPr>
              <w:ind w:left="1"/>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不予处罚的依据</w:t>
            </w:r>
          </w:p>
        </w:tc>
        <w:tc>
          <w:tcPr>
            <w:tcW w:w="1080" w:type="dxa"/>
            <w:tcBorders>
              <w:top w:val="single" w:color="000000" w:sz="4" w:space="0"/>
              <w:left w:val="single" w:color="000000" w:sz="4" w:space="0"/>
              <w:bottom w:val="single" w:color="000000" w:sz="4" w:space="0"/>
              <w:right w:val="single" w:color="000000" w:sz="4" w:space="0"/>
            </w:tcBorders>
            <w:vAlign w:val="center"/>
          </w:tcPr>
          <w:p>
            <w:pPr>
              <w:ind w:left="193"/>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备注</w:t>
            </w:r>
          </w:p>
        </w:tc>
      </w:tr>
      <w:tr>
        <w:tblPrEx>
          <w:tblCellMar>
            <w:top w:w="59" w:type="dxa"/>
            <w:left w:w="107" w:type="dxa"/>
            <w:bottom w:w="54" w:type="dxa"/>
            <w:right w:w="109" w:type="dxa"/>
          </w:tblCellMar>
        </w:tblPrEx>
        <w:trPr>
          <w:trHeight w:val="625" w:hRule="atLeast"/>
        </w:trPr>
        <w:tc>
          <w:tcPr>
            <w:tcW w:w="747" w:type="dxa"/>
            <w:tcBorders>
              <w:top w:val="single" w:color="000000" w:sz="4" w:space="0"/>
              <w:left w:val="single" w:color="000000" w:sz="4" w:space="0"/>
              <w:bottom w:val="single" w:color="000000" w:sz="4" w:space="0"/>
              <w:right w:val="single" w:color="000000" w:sz="4" w:space="0"/>
            </w:tcBorders>
            <w:vAlign w:val="center"/>
          </w:tcPr>
          <w:p>
            <w:pPr>
              <w:ind w:left="0" w:leftChars="0"/>
              <w:jc w:val="center"/>
              <w:rPr>
                <w:rFonts w:hint="eastAsia" w:ascii="仿宋_GB2312" w:hAnsi="仿宋_GB2312" w:eastAsia="仿宋_GB2312" w:cs="仿宋_GB2312"/>
                <w:color w:val="000000"/>
                <w:kern w:val="2"/>
                <w:sz w:val="18"/>
                <w:szCs w:val="18"/>
                <w:lang w:val="en-US" w:eastAsia="zh-CN" w:bidi="ar-SA"/>
                <w14:ligatures w14:val="standardContextual"/>
              </w:rPr>
            </w:pPr>
            <w:r>
              <w:rPr>
                <w:rFonts w:hint="eastAsia" w:ascii="仿宋_GB2312" w:hAnsi="仿宋_GB2312" w:eastAsia="仿宋_GB2312" w:cs="仿宋_GB2312"/>
                <w:sz w:val="18"/>
                <w:szCs w:val="18"/>
                <w:lang w:val="en-US" w:eastAsia="zh-CN"/>
              </w:rPr>
              <w:t>1</w:t>
            </w:r>
          </w:p>
        </w:tc>
        <w:tc>
          <w:tcPr>
            <w:tcW w:w="2685" w:type="dxa"/>
            <w:tcBorders>
              <w:top w:val="single" w:color="000000" w:sz="4" w:space="0"/>
              <w:left w:val="single" w:color="000000" w:sz="4" w:space="0"/>
              <w:bottom w:val="single" w:color="000000" w:sz="4" w:space="0"/>
              <w:right w:val="single" w:color="000000" w:sz="4" w:space="0"/>
            </w:tcBorders>
            <w:vAlign w:val="center"/>
          </w:tcPr>
          <w:p>
            <w:pPr>
              <w:ind w:left="2" w:leftChars="0"/>
              <w:rPr>
                <w:rFonts w:hint="eastAsia" w:ascii="仿宋_GB2312" w:hAnsi="仿宋_GB2312" w:eastAsia="仿宋_GB2312" w:cs="仿宋_GB2312"/>
                <w:color w:val="000000"/>
                <w:kern w:val="2"/>
                <w:sz w:val="18"/>
                <w:szCs w:val="18"/>
                <w:lang w:val="en-US" w:eastAsia="zh-CN" w:bidi="ar-SA"/>
                <w14:ligatures w14:val="standardContextual"/>
              </w:rPr>
            </w:pPr>
            <w:r>
              <w:rPr>
                <w:rFonts w:hint="eastAsia" w:ascii="仿宋_GB2312" w:hAnsi="仿宋_GB2312" w:eastAsia="仿宋_GB2312" w:cs="仿宋_GB2312"/>
                <w:color w:val="0D0D0D"/>
                <w:sz w:val="18"/>
                <w:szCs w:val="18"/>
              </w:rPr>
              <w:t>对装修人未申报登记进行住宅室内装饰装修活动行为的处罚</w:t>
            </w:r>
          </w:p>
        </w:tc>
        <w:tc>
          <w:tcPr>
            <w:tcW w:w="2865" w:type="dxa"/>
            <w:tcBorders>
              <w:top w:val="single" w:color="000000" w:sz="4" w:space="0"/>
              <w:left w:val="single" w:color="000000" w:sz="4" w:space="0"/>
              <w:bottom w:val="single" w:color="000000" w:sz="4" w:space="0"/>
              <w:right w:val="single" w:color="000000" w:sz="4" w:space="0"/>
            </w:tcBorders>
            <w:vAlign w:val="center"/>
          </w:tcPr>
          <w:p>
            <w:pPr>
              <w:spacing w:after="41"/>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D0D0D"/>
                <w:sz w:val="18"/>
                <w:szCs w:val="18"/>
              </w:rPr>
              <w:t>1.首次实施违法行为；</w:t>
            </w:r>
          </w:p>
          <w:p>
            <w:pPr>
              <w:spacing w:line="285" w:lineRule="auto"/>
              <w:ind w:left="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D0D0D"/>
                <w:sz w:val="18"/>
                <w:szCs w:val="18"/>
              </w:rPr>
              <w:t>2.接到整改通知书后五个工作日内提交申报登记手续进行的；</w:t>
            </w:r>
          </w:p>
          <w:p>
            <w:pPr>
              <w:ind w:left="0" w:leftChars="0"/>
              <w:jc w:val="center"/>
              <w:rPr>
                <w:rFonts w:hint="eastAsia" w:ascii="仿宋_GB2312" w:hAnsi="仿宋_GB2312" w:eastAsia="仿宋_GB2312" w:cs="仿宋_GB2312"/>
                <w:color w:val="000000"/>
                <w:kern w:val="2"/>
                <w:sz w:val="18"/>
                <w:szCs w:val="18"/>
                <w:lang w:val="en-US" w:eastAsia="zh-CN" w:bidi="ar-SA"/>
                <w14:ligatures w14:val="standardContextual"/>
              </w:rPr>
            </w:pPr>
            <w:r>
              <w:rPr>
                <w:rFonts w:hint="eastAsia" w:ascii="仿宋_GB2312" w:hAnsi="仿宋_GB2312" w:eastAsia="仿宋_GB2312" w:cs="仿宋_GB2312"/>
                <w:color w:val="0D0D0D"/>
                <w:sz w:val="18"/>
                <w:szCs w:val="18"/>
              </w:rPr>
              <w:t>3.违法行为调查过程中，当事人积极配合检查调查，不存在拒不接受执法部门调查处理、阻碍执法、煽动抗拒执法等妨碍执行公务的行为。</w:t>
            </w:r>
          </w:p>
        </w:tc>
        <w:tc>
          <w:tcPr>
            <w:tcW w:w="5683" w:type="dxa"/>
            <w:tcBorders>
              <w:top w:val="single" w:color="000000" w:sz="4" w:space="0"/>
              <w:left w:val="single" w:color="000000" w:sz="4" w:space="0"/>
              <w:bottom w:val="single" w:color="000000" w:sz="4" w:space="0"/>
              <w:right w:val="single" w:color="000000" w:sz="4" w:space="0"/>
            </w:tcBorders>
            <w:vAlign w:val="center"/>
          </w:tcPr>
          <w:p>
            <w:pPr>
              <w:ind w:left="1" w:leftChars="0"/>
              <w:jc w:val="center"/>
              <w:rPr>
                <w:rFonts w:hint="eastAsia" w:ascii="仿宋_GB2312" w:hAnsi="仿宋_GB2312" w:eastAsia="仿宋_GB2312" w:cs="仿宋_GB2312"/>
                <w:color w:val="000000"/>
                <w:kern w:val="2"/>
                <w:sz w:val="18"/>
                <w:szCs w:val="18"/>
                <w:lang w:val="en-US" w:eastAsia="zh-CN" w:bidi="ar-SA"/>
                <w14:ligatures w14:val="standardContextual"/>
              </w:rPr>
            </w:pPr>
            <w:r>
              <w:rPr>
                <w:rFonts w:hint="eastAsia" w:ascii="仿宋_GB2312" w:hAnsi="仿宋_GB2312" w:eastAsia="仿宋_GB2312" w:cs="仿宋_GB2312"/>
                <w:color w:val="0D0D0D"/>
                <w:sz w:val="18"/>
                <w:szCs w:val="18"/>
              </w:rPr>
              <w:t>【部门规章】《住宅室内装饰装修管理办法》（2002年3月5日建设部令第110号发布，根据2011年1月26日《住房和城乡建设部关于废止和修改部分规章的决定》（住房和城乡建设部令第9号）修正，自2002年5月1日起施行）第三十五条</w:t>
            </w:r>
            <w:r>
              <w:rPr>
                <w:rFonts w:hint="eastAsia" w:ascii="仿宋_GB2312" w:hAnsi="仿宋_GB2312" w:eastAsia="仿宋_GB2312" w:cs="仿宋_GB2312"/>
                <w:color w:val="0D0D0D"/>
                <w:sz w:val="18"/>
                <w:szCs w:val="18"/>
                <w:lang w:eastAsia="zh-CN"/>
              </w:rPr>
              <w:t>：</w:t>
            </w:r>
            <w:r>
              <w:rPr>
                <w:rFonts w:hint="eastAsia" w:ascii="仿宋_GB2312" w:hAnsi="仿宋_GB2312" w:eastAsia="仿宋_GB2312" w:cs="仿宋_GB2312"/>
                <w:color w:val="0D0D0D"/>
                <w:sz w:val="18"/>
                <w:szCs w:val="18"/>
              </w:rPr>
              <w:t>装修人未申报登记进行住宅室内装饰装修活动的， 由城市房地产行政主管部门责令改正，处5百元以上1千元以下的罚款。</w:t>
            </w:r>
          </w:p>
        </w:tc>
        <w:tc>
          <w:tcPr>
            <w:tcW w:w="1080" w:type="dxa"/>
            <w:tcBorders>
              <w:top w:val="single" w:color="000000" w:sz="4" w:space="0"/>
              <w:left w:val="single" w:color="000000" w:sz="4" w:space="0"/>
              <w:bottom w:val="single" w:color="000000" w:sz="4" w:space="0"/>
              <w:right w:val="single" w:color="000000" w:sz="4" w:space="0"/>
            </w:tcBorders>
            <w:vAlign w:val="top"/>
          </w:tcPr>
          <w:p>
            <w:pPr>
              <w:spacing w:after="160"/>
              <w:ind w:left="0" w:leftChars="0"/>
              <w:rPr>
                <w:rFonts w:hint="eastAsia" w:ascii="仿宋_GB2312" w:hAnsi="仿宋_GB2312" w:eastAsia="仿宋_GB2312" w:cs="仿宋_GB2312"/>
                <w:color w:val="000000"/>
                <w:kern w:val="2"/>
                <w:sz w:val="18"/>
                <w:szCs w:val="18"/>
                <w:lang w:val="en-US" w:eastAsia="zh-CN" w:bidi="ar-SA"/>
                <w14:ligatures w14:val="standardContextual"/>
              </w:rPr>
            </w:pPr>
          </w:p>
        </w:tc>
      </w:tr>
    </w:tbl>
    <w:p>
      <w:pPr>
        <w:ind w:left="-6022" w:right="45"/>
        <w:rPr>
          <w:rFonts w:hint="eastAsia" w:ascii="仿宋_GB2312" w:hAnsi="仿宋_GB2312" w:eastAsia="仿宋_GB2312" w:cs="仿宋_GB2312"/>
        </w:rPr>
      </w:pPr>
    </w:p>
    <w:p>
      <w:pPr>
        <w:ind w:left="-5" w:right="773" w:hanging="10"/>
        <w:rPr>
          <w:rFonts w:hint="eastAsia" w:ascii="仿宋_GB2312" w:hAnsi="仿宋_GB2312" w:eastAsia="仿宋_GB2312" w:cs="仿宋_GB2312"/>
          <w:sz w:val="36"/>
        </w:rPr>
      </w:pPr>
    </w:p>
    <w:p>
      <w:pPr>
        <w:ind w:left="-5" w:right="773" w:hanging="10"/>
        <w:rPr>
          <w:rFonts w:hint="eastAsia" w:ascii="仿宋_GB2312" w:hAnsi="仿宋_GB2312" w:eastAsia="仿宋_GB2312" w:cs="仿宋_GB2312"/>
          <w:sz w:val="36"/>
        </w:rPr>
      </w:pPr>
    </w:p>
    <w:p>
      <w:pPr>
        <w:ind w:left="-5" w:right="773" w:hanging="10"/>
        <w:rPr>
          <w:rFonts w:hint="eastAsia" w:ascii="仿宋_GB2312" w:hAnsi="仿宋_GB2312" w:eastAsia="仿宋_GB2312" w:cs="仿宋_GB2312"/>
          <w:sz w:val="36"/>
        </w:rPr>
      </w:pPr>
    </w:p>
    <w:p>
      <w:pPr>
        <w:ind w:left="0" w:leftChars="0" w:right="773" w:firstLine="0" w:firstLineChars="0"/>
        <w:rPr>
          <w:rFonts w:hint="eastAsia" w:ascii="仿宋_GB2312" w:hAnsi="仿宋_GB2312" w:eastAsia="仿宋_GB2312" w:cs="仿宋_GB2312"/>
          <w:sz w:val="36"/>
        </w:rPr>
      </w:pPr>
    </w:p>
    <w:p>
      <w:pPr>
        <w:ind w:left="0" w:leftChars="0" w:right="773" w:firstLine="0" w:firstLineChars="0"/>
        <w:rPr>
          <w:rFonts w:hint="eastAsia" w:ascii="仿宋_GB2312" w:hAnsi="仿宋_GB2312" w:eastAsia="仿宋_GB2312" w:cs="仿宋_GB2312"/>
          <w:sz w:val="36"/>
        </w:rPr>
      </w:pPr>
    </w:p>
    <w:p>
      <w:pPr>
        <w:ind w:left="0" w:leftChars="0" w:right="773" w:firstLine="0" w:firstLineChars="0"/>
        <w:rPr>
          <w:rFonts w:hint="eastAsia" w:ascii="仿宋_GB2312" w:hAnsi="仿宋_GB2312" w:eastAsia="仿宋_GB2312" w:cs="仿宋_GB2312"/>
          <w:sz w:val="36"/>
        </w:rPr>
      </w:pPr>
    </w:p>
    <w:p>
      <w:pPr>
        <w:ind w:left="-5" w:right="773" w:hanging="10"/>
        <w:rPr>
          <w:rFonts w:hint="eastAsia" w:ascii="仿宋_GB2312" w:hAnsi="仿宋_GB2312" w:eastAsia="仿宋_GB2312" w:cs="仿宋_GB2312"/>
          <w:sz w:val="36"/>
          <w:lang w:eastAsia="zh-CN"/>
        </w:rPr>
      </w:pPr>
    </w:p>
    <w:p>
      <w:pPr>
        <w:ind w:left="-5" w:right="773" w:hanging="10"/>
        <w:rPr>
          <w:rFonts w:hint="eastAsia" w:ascii="仿宋_GB2312" w:hAnsi="仿宋_GB2312" w:eastAsia="仿宋_GB2312" w:cs="仿宋_GB2312"/>
          <w:sz w:val="36"/>
          <w:lang w:eastAsia="zh-CN"/>
        </w:rPr>
      </w:pPr>
    </w:p>
    <w:p>
      <w:pPr>
        <w:ind w:left="-5" w:right="773" w:hanging="10"/>
        <w:rPr>
          <w:rFonts w:hint="eastAsia" w:ascii="仿宋_GB2312" w:hAnsi="仿宋_GB2312" w:eastAsia="仿宋_GB2312" w:cs="仿宋_GB2312"/>
          <w:sz w:val="36"/>
          <w:lang w:eastAsia="zh-CN"/>
        </w:rPr>
      </w:pPr>
    </w:p>
    <w:p>
      <w:pPr>
        <w:ind w:left="-5" w:right="773" w:hanging="10"/>
        <w:rPr>
          <w:rFonts w:hint="eastAsia" w:ascii="仿宋_GB2312" w:hAnsi="仿宋_GB2312" w:eastAsia="仿宋_GB2312" w:cs="仿宋_GB2312"/>
        </w:rPr>
      </w:pPr>
      <w:r>
        <w:rPr>
          <w:rFonts w:hint="eastAsia" w:ascii="仿宋_GB2312" w:hAnsi="仿宋_GB2312" w:eastAsia="仿宋_GB2312" w:cs="仿宋_GB2312"/>
          <w:sz w:val="36"/>
          <w:lang w:eastAsia="zh-CN"/>
        </w:rPr>
        <w:t>银河路街道</w:t>
      </w:r>
      <w:r>
        <w:rPr>
          <w:rFonts w:hint="eastAsia" w:ascii="仿宋_GB2312" w:hAnsi="仿宋_GB2312" w:eastAsia="仿宋_GB2312" w:cs="仿宋_GB2312"/>
          <w:sz w:val="36"/>
        </w:rPr>
        <w:t>从轻或减轻处罚事项清单</w:t>
      </w:r>
    </w:p>
    <w:tbl>
      <w:tblPr>
        <w:tblStyle w:val="5"/>
        <w:tblW w:w="12997" w:type="dxa"/>
        <w:tblInd w:w="-4038" w:type="dxa"/>
        <w:tblLayout w:type="autofit"/>
        <w:tblCellMar>
          <w:top w:w="0" w:type="dxa"/>
          <w:left w:w="107" w:type="dxa"/>
          <w:bottom w:w="56" w:type="dxa"/>
          <w:right w:w="84" w:type="dxa"/>
        </w:tblCellMar>
      </w:tblPr>
      <w:tblGrid>
        <w:gridCol w:w="929"/>
        <w:gridCol w:w="1948"/>
        <w:gridCol w:w="4224"/>
        <w:gridCol w:w="4641"/>
        <w:gridCol w:w="1255"/>
      </w:tblGrid>
      <w:tr>
        <w:tblPrEx>
          <w:tblCellMar>
            <w:top w:w="0" w:type="dxa"/>
            <w:left w:w="107" w:type="dxa"/>
            <w:bottom w:w="56" w:type="dxa"/>
            <w:right w:w="84" w:type="dxa"/>
          </w:tblCellMar>
        </w:tblPrEx>
        <w:trPr>
          <w:trHeight w:val="846" w:hRule="atLeast"/>
        </w:trPr>
        <w:tc>
          <w:tcPr>
            <w:tcW w:w="929" w:type="dxa"/>
            <w:tcBorders>
              <w:top w:val="single" w:color="000000" w:sz="4" w:space="0"/>
              <w:left w:val="single" w:color="000000" w:sz="4" w:space="0"/>
              <w:bottom w:val="single" w:color="000000" w:sz="4" w:space="0"/>
              <w:right w:val="single" w:color="000000" w:sz="4" w:space="0"/>
            </w:tcBorders>
            <w:vAlign w:val="center"/>
          </w:tcPr>
          <w:p>
            <w:pPr>
              <w:ind w:left="117"/>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序号</w:t>
            </w:r>
          </w:p>
        </w:tc>
        <w:tc>
          <w:tcPr>
            <w:tcW w:w="1948" w:type="dxa"/>
            <w:tcBorders>
              <w:top w:val="single" w:color="000000" w:sz="4" w:space="0"/>
              <w:left w:val="single" w:color="000000" w:sz="4" w:space="0"/>
              <w:bottom w:val="single" w:color="000000" w:sz="4" w:space="0"/>
              <w:right w:val="single" w:color="000000" w:sz="4" w:space="0"/>
            </w:tcBorders>
            <w:vAlign w:val="center"/>
          </w:tcPr>
          <w:p>
            <w:pPr>
              <w:ind w:left="148"/>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处罚事项名称</w:t>
            </w:r>
          </w:p>
        </w:tc>
        <w:tc>
          <w:tcPr>
            <w:tcW w:w="4224" w:type="dxa"/>
            <w:tcBorders>
              <w:top w:val="single" w:color="000000" w:sz="4" w:space="0"/>
              <w:left w:val="single" w:color="000000" w:sz="4" w:space="0"/>
              <w:bottom w:val="single" w:color="000000" w:sz="4" w:space="0"/>
              <w:right w:val="single" w:color="000000" w:sz="4" w:space="0"/>
            </w:tcBorders>
            <w:vAlign w:val="center"/>
          </w:tcPr>
          <w:p>
            <w:pPr>
              <w:ind w:left="0" w:right="25"/>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从轻或减轻处罚的情形</w:t>
            </w:r>
          </w:p>
        </w:tc>
        <w:tc>
          <w:tcPr>
            <w:tcW w:w="4641" w:type="dxa"/>
            <w:tcBorders>
              <w:top w:val="single" w:color="000000" w:sz="4" w:space="0"/>
              <w:left w:val="single" w:color="000000" w:sz="4" w:space="0"/>
              <w:bottom w:val="single" w:color="000000" w:sz="4" w:space="0"/>
              <w:right w:val="single" w:color="000000" w:sz="4" w:space="0"/>
            </w:tcBorders>
            <w:vAlign w:val="center"/>
          </w:tcPr>
          <w:p>
            <w:pPr>
              <w:ind w:left="0" w:right="24"/>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从轻处罚的依据</w:t>
            </w:r>
          </w:p>
        </w:tc>
        <w:tc>
          <w:tcPr>
            <w:tcW w:w="1255" w:type="dxa"/>
            <w:tcBorders>
              <w:top w:val="single" w:color="000000" w:sz="4" w:space="0"/>
              <w:left w:val="single" w:color="000000" w:sz="4" w:space="0"/>
              <w:bottom w:val="single" w:color="000000" w:sz="4" w:space="0"/>
              <w:right w:val="single" w:color="000000" w:sz="4" w:space="0"/>
            </w:tcBorders>
            <w:vAlign w:val="center"/>
          </w:tcPr>
          <w:p>
            <w:pPr>
              <w:ind w:left="279"/>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备注</w:t>
            </w:r>
          </w:p>
        </w:tc>
      </w:tr>
      <w:tr>
        <w:tblPrEx>
          <w:tblCellMar>
            <w:top w:w="0" w:type="dxa"/>
            <w:left w:w="107" w:type="dxa"/>
            <w:bottom w:w="56" w:type="dxa"/>
            <w:right w:w="84" w:type="dxa"/>
          </w:tblCellMar>
        </w:tblPrEx>
        <w:trPr>
          <w:trHeight w:val="5862" w:hRule="atLeast"/>
        </w:trPr>
        <w:tc>
          <w:tcPr>
            <w:tcW w:w="929" w:type="dxa"/>
            <w:tcBorders>
              <w:top w:val="single" w:color="000000" w:sz="4" w:space="0"/>
              <w:left w:val="single" w:color="000000" w:sz="4" w:space="0"/>
              <w:bottom w:val="single" w:color="000000" w:sz="4" w:space="0"/>
              <w:right w:val="single" w:color="000000" w:sz="4" w:space="0"/>
            </w:tcBorders>
            <w:vAlign w:val="center"/>
          </w:tcPr>
          <w:p>
            <w:pPr>
              <w:ind w:left="0" w:right="24"/>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w:t>
            </w:r>
          </w:p>
        </w:tc>
        <w:tc>
          <w:tcPr>
            <w:tcW w:w="1948" w:type="dxa"/>
            <w:tcBorders>
              <w:top w:val="single" w:color="000000" w:sz="4" w:space="0"/>
              <w:left w:val="single" w:color="000000" w:sz="4" w:space="0"/>
              <w:bottom w:val="single" w:color="000000" w:sz="4" w:space="0"/>
              <w:right w:val="single" w:color="000000" w:sz="4" w:space="0"/>
            </w:tcBorders>
            <w:vAlign w:val="center"/>
          </w:tcPr>
          <w:p>
            <w:pPr>
              <w:ind w:left="2"/>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对未经同意擅自占用城市绿化用地的处罚</w:t>
            </w:r>
          </w:p>
        </w:tc>
        <w:tc>
          <w:tcPr>
            <w:tcW w:w="4224" w:type="dxa"/>
            <w:tcBorders>
              <w:top w:val="single" w:color="000000" w:sz="4" w:space="0"/>
              <w:left w:val="single" w:color="000000" w:sz="4" w:space="0"/>
              <w:bottom w:val="single" w:color="000000" w:sz="4" w:space="0"/>
              <w:right w:val="single" w:color="000000" w:sz="4" w:space="0"/>
            </w:tcBorders>
            <w:vAlign w:val="center"/>
          </w:tcPr>
          <w:p>
            <w:pPr>
              <w:spacing w:line="294" w:lineRule="auto"/>
              <w:ind w:lef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1.在规定时限内整改的，且能主动补救、恢复原状，未造成绿化损失的。</w:t>
            </w:r>
          </w:p>
          <w:p>
            <w:pPr>
              <w:spacing w:after="40"/>
              <w:ind w:lef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2.危害后果轻微。</w:t>
            </w:r>
          </w:p>
          <w:p>
            <w:pPr>
              <w:ind w:lef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3.违法行为调查过程中，当事人积极配合检查调查，不存在拒不接受执法部门调查处理、阻碍执法、煽动抗拒执法等妨碍执行公务的行为。</w:t>
            </w:r>
          </w:p>
        </w:tc>
        <w:tc>
          <w:tcPr>
            <w:tcW w:w="4641" w:type="dxa"/>
            <w:tcBorders>
              <w:top w:val="single" w:color="000000" w:sz="4" w:space="0"/>
              <w:left w:val="single" w:color="000000" w:sz="4" w:space="0"/>
              <w:bottom w:val="single" w:color="000000" w:sz="4" w:space="0"/>
              <w:right w:val="single" w:color="000000" w:sz="4" w:space="0"/>
            </w:tcBorders>
            <w:vAlign w:val="center"/>
          </w:tcPr>
          <w:p>
            <w:pPr>
              <w:spacing w:line="341" w:lineRule="auto"/>
              <w:ind w:left="122" w:right="79" w:hanging="12"/>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【行政法规】《克拉玛依市城市绿化条例》第二十九条</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rPr>
              <w:t>擅自占用城市绿化用地的，责令限期退还、恢复原状，对个人可以处50元以上200元以下罚款，对单位可以处200元以上1000元以下罚款；属于从事经营活动的，可以处违法所得3倍以下罚款，无违法所得或者违法所得不足1000元的，可以处1000元以上1万元以下罚款；造成损失的，依法承担赔偿责任。</w:t>
            </w:r>
          </w:p>
          <w:p>
            <w:pPr>
              <w:spacing w:after="10" w:line="320" w:lineRule="auto"/>
              <w:ind w:left="120" w:hanging="1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【行政法规】《行政处罚法》第三十二条规定，当事人有下列情形之一，应当从轻或者减轻行政处罚：</w:t>
            </w:r>
          </w:p>
          <w:p>
            <w:pPr>
              <w:numPr>
                <w:ilvl w:val="0"/>
                <w:numId w:val="2"/>
              </w:numPr>
              <w:spacing w:after="59"/>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主动消除或者减轻违法行为危害后果的；</w:t>
            </w:r>
          </w:p>
          <w:p>
            <w:pPr>
              <w:numPr>
                <w:ilvl w:val="0"/>
                <w:numId w:val="2"/>
              </w:numPr>
              <w:spacing w:after="66"/>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受他人胁迫或者诱骗实施违法行为的；</w:t>
            </w:r>
          </w:p>
          <w:p>
            <w:pPr>
              <w:numPr>
                <w:ilvl w:val="0"/>
                <w:numId w:val="2"/>
              </w:numPr>
              <w:spacing w:after="59"/>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主动供述行政机关尚未掌握的违法行为的；</w:t>
            </w:r>
          </w:p>
          <w:p>
            <w:pPr>
              <w:numPr>
                <w:ilvl w:val="0"/>
                <w:numId w:val="2"/>
              </w:numPr>
              <w:spacing w:after="71"/>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配合行政机关查处违法行为有立功表现的；</w:t>
            </w:r>
          </w:p>
          <w:p>
            <w:pPr>
              <w:numPr>
                <w:ilvl w:val="0"/>
                <w:numId w:val="2"/>
              </w:numP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法律、法规、规章规定其他应当从轻或者减轻行政处罚的。</w:t>
            </w:r>
          </w:p>
        </w:tc>
        <w:tc>
          <w:tcPr>
            <w:tcW w:w="1255" w:type="dxa"/>
            <w:tcBorders>
              <w:top w:val="single" w:color="000000" w:sz="4" w:space="0"/>
              <w:left w:val="single" w:color="000000" w:sz="4" w:space="0"/>
              <w:bottom w:val="single" w:color="000000" w:sz="4" w:space="0"/>
              <w:right w:val="single" w:color="000000" w:sz="4" w:space="0"/>
            </w:tcBorders>
          </w:tcPr>
          <w:p>
            <w:pPr>
              <w:spacing w:after="160"/>
              <w:ind w:left="0"/>
              <w:rPr>
                <w:rFonts w:hint="eastAsia" w:ascii="仿宋_GB2312" w:hAnsi="仿宋_GB2312" w:eastAsia="仿宋_GB2312" w:cs="仿宋_GB2312"/>
                <w:color w:val="auto"/>
                <w:sz w:val="18"/>
                <w:szCs w:val="18"/>
              </w:rPr>
            </w:pPr>
          </w:p>
        </w:tc>
      </w:tr>
    </w:tbl>
    <w:p>
      <w:pPr>
        <w:rPr>
          <w:sz w:val="18"/>
          <w:szCs w:val="18"/>
        </w:rPr>
      </w:pPr>
    </w:p>
    <w:sectPr>
      <w:footerReference r:id="rId7" w:type="first"/>
      <w:footerReference r:id="rId5" w:type="default"/>
      <w:footerReference r:id="rId6" w:type="even"/>
      <w:pgSz w:w="16838" w:h="11906" w:orient="landscape"/>
      <w:pgMar w:top="1515" w:right="1764" w:bottom="1566" w:left="6022" w:header="720" w:footer="1216" w:gutter="0"/>
      <w:pgNumType w:start="399"/>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黑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ight="33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037"/>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ight="333"/>
      <w:jc w:val="right"/>
      <w:rPr>
        <w:rFonts w:hint="eastAsia"/>
      </w:rPr>
    </w:pPr>
    <w:r>
      <w:rPr>
        <w:rFonts w:ascii="Calibri" w:hAnsi="Calibri" w:eastAsia="Calibri" w:cs="Calibri"/>
        <w:sz w:val="18"/>
      </w:rPr>
      <w:t>-</w:t>
    </w:r>
    <w:r>
      <w:fldChar w:fldCharType="begin"/>
    </w:r>
    <w:r>
      <w:instrText xml:space="preserve"> PAGE   \* MERGEFORMAT </w:instrText>
    </w:r>
    <w:r>
      <w:rPr>
        <w:rFonts w:hint="eastAsia"/>
      </w:rPr>
      <w:fldChar w:fldCharType="separate"/>
    </w:r>
    <w:r>
      <w:rPr>
        <w:rFonts w:ascii="Calibri" w:hAnsi="Calibri" w:eastAsia="Calibri" w:cs="Calibri"/>
        <w:sz w:val="18"/>
      </w:rPr>
      <w:t>399</w:t>
    </w:r>
    <w:r>
      <w:rPr>
        <w:rFonts w:ascii="Calibri" w:hAnsi="Calibri" w:eastAsia="Calibri" w:cs="Calibri"/>
        <w:sz w:val="18"/>
      </w:rPr>
      <w:fldChar w:fldCharType="end"/>
    </w:r>
    <w:r>
      <w:rPr>
        <w:rFonts w:ascii="Calibri" w:hAnsi="Calibri" w:eastAsia="Calibri" w:cs="Calibri"/>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154854"/>
    <w:multiLevelType w:val="multilevel"/>
    <w:tmpl w:val="64154854"/>
    <w:lvl w:ilvl="0" w:tentative="0">
      <w:start w:val="1"/>
      <w:numFmt w:val="decimal"/>
      <w:lvlText w:val="（%1）"/>
      <w:lvlJc w:val="left"/>
      <w:pPr>
        <w:ind w:left="0"/>
      </w:pPr>
      <w:rPr>
        <w:rFonts w:ascii="宋体" w:hAnsi="宋体" w:eastAsia="宋体" w:cs="宋体"/>
        <w:b w:val="0"/>
        <w:i w:val="0"/>
        <w:strike w:val="0"/>
        <w:dstrike w:val="0"/>
        <w:color w:val="000000"/>
        <w:sz w:val="20"/>
        <w:szCs w:val="20"/>
        <w:u w:val="none" w:color="000000"/>
        <w:shd w:val="clear" w:color="auto" w:fill="auto"/>
        <w:vertAlign w:val="baseline"/>
      </w:rPr>
    </w:lvl>
    <w:lvl w:ilvl="1" w:tentative="0">
      <w:start w:val="1"/>
      <w:numFmt w:val="lowerLetter"/>
      <w:lvlText w:val="%2"/>
      <w:lvlJc w:val="left"/>
      <w:pPr>
        <w:ind w:left="1187"/>
      </w:pPr>
      <w:rPr>
        <w:rFonts w:ascii="宋体" w:hAnsi="宋体" w:eastAsia="宋体" w:cs="宋体"/>
        <w:b w:val="0"/>
        <w:i w:val="0"/>
        <w:strike w:val="0"/>
        <w:dstrike w:val="0"/>
        <w:color w:val="000000"/>
        <w:sz w:val="20"/>
        <w:szCs w:val="20"/>
        <w:u w:val="none" w:color="000000"/>
        <w:shd w:val="clear" w:color="auto" w:fill="auto"/>
        <w:vertAlign w:val="baseline"/>
      </w:rPr>
    </w:lvl>
    <w:lvl w:ilvl="2" w:tentative="0">
      <w:start w:val="1"/>
      <w:numFmt w:val="lowerRoman"/>
      <w:lvlText w:val="%3"/>
      <w:lvlJc w:val="left"/>
      <w:pPr>
        <w:ind w:left="1907"/>
      </w:pPr>
      <w:rPr>
        <w:rFonts w:ascii="宋体" w:hAnsi="宋体" w:eastAsia="宋体" w:cs="宋体"/>
        <w:b w:val="0"/>
        <w:i w:val="0"/>
        <w:strike w:val="0"/>
        <w:dstrike w:val="0"/>
        <w:color w:val="000000"/>
        <w:sz w:val="20"/>
        <w:szCs w:val="20"/>
        <w:u w:val="none" w:color="000000"/>
        <w:shd w:val="clear" w:color="auto" w:fill="auto"/>
        <w:vertAlign w:val="baseline"/>
      </w:rPr>
    </w:lvl>
    <w:lvl w:ilvl="3" w:tentative="0">
      <w:start w:val="1"/>
      <w:numFmt w:val="decimal"/>
      <w:lvlText w:val="%4"/>
      <w:lvlJc w:val="left"/>
      <w:pPr>
        <w:ind w:left="2627"/>
      </w:pPr>
      <w:rPr>
        <w:rFonts w:ascii="宋体" w:hAnsi="宋体" w:eastAsia="宋体" w:cs="宋体"/>
        <w:b w:val="0"/>
        <w:i w:val="0"/>
        <w:strike w:val="0"/>
        <w:dstrike w:val="0"/>
        <w:color w:val="000000"/>
        <w:sz w:val="20"/>
        <w:szCs w:val="20"/>
        <w:u w:val="none" w:color="000000"/>
        <w:shd w:val="clear" w:color="auto" w:fill="auto"/>
        <w:vertAlign w:val="baseline"/>
      </w:rPr>
    </w:lvl>
    <w:lvl w:ilvl="4" w:tentative="0">
      <w:start w:val="1"/>
      <w:numFmt w:val="lowerLetter"/>
      <w:lvlText w:val="%5"/>
      <w:lvlJc w:val="left"/>
      <w:pPr>
        <w:ind w:left="3347"/>
      </w:pPr>
      <w:rPr>
        <w:rFonts w:ascii="宋体" w:hAnsi="宋体" w:eastAsia="宋体" w:cs="宋体"/>
        <w:b w:val="0"/>
        <w:i w:val="0"/>
        <w:strike w:val="0"/>
        <w:dstrike w:val="0"/>
        <w:color w:val="000000"/>
        <w:sz w:val="20"/>
        <w:szCs w:val="20"/>
        <w:u w:val="none" w:color="000000"/>
        <w:shd w:val="clear" w:color="auto" w:fill="auto"/>
        <w:vertAlign w:val="baseline"/>
      </w:rPr>
    </w:lvl>
    <w:lvl w:ilvl="5" w:tentative="0">
      <w:start w:val="1"/>
      <w:numFmt w:val="lowerRoman"/>
      <w:lvlText w:val="%6"/>
      <w:lvlJc w:val="left"/>
      <w:pPr>
        <w:ind w:left="4067"/>
      </w:pPr>
      <w:rPr>
        <w:rFonts w:ascii="宋体" w:hAnsi="宋体" w:eastAsia="宋体" w:cs="宋体"/>
        <w:b w:val="0"/>
        <w:i w:val="0"/>
        <w:strike w:val="0"/>
        <w:dstrike w:val="0"/>
        <w:color w:val="000000"/>
        <w:sz w:val="20"/>
        <w:szCs w:val="20"/>
        <w:u w:val="none" w:color="000000"/>
        <w:shd w:val="clear" w:color="auto" w:fill="auto"/>
        <w:vertAlign w:val="baseline"/>
      </w:rPr>
    </w:lvl>
    <w:lvl w:ilvl="6" w:tentative="0">
      <w:start w:val="1"/>
      <w:numFmt w:val="decimal"/>
      <w:lvlText w:val="%7"/>
      <w:lvlJc w:val="left"/>
      <w:pPr>
        <w:ind w:left="4787"/>
      </w:pPr>
      <w:rPr>
        <w:rFonts w:ascii="宋体" w:hAnsi="宋体" w:eastAsia="宋体" w:cs="宋体"/>
        <w:b w:val="0"/>
        <w:i w:val="0"/>
        <w:strike w:val="0"/>
        <w:dstrike w:val="0"/>
        <w:color w:val="000000"/>
        <w:sz w:val="20"/>
        <w:szCs w:val="20"/>
        <w:u w:val="none" w:color="000000"/>
        <w:shd w:val="clear" w:color="auto" w:fill="auto"/>
        <w:vertAlign w:val="baseline"/>
      </w:rPr>
    </w:lvl>
    <w:lvl w:ilvl="7" w:tentative="0">
      <w:start w:val="1"/>
      <w:numFmt w:val="lowerLetter"/>
      <w:lvlText w:val="%8"/>
      <w:lvlJc w:val="left"/>
      <w:pPr>
        <w:ind w:left="5507"/>
      </w:pPr>
      <w:rPr>
        <w:rFonts w:ascii="宋体" w:hAnsi="宋体" w:eastAsia="宋体" w:cs="宋体"/>
        <w:b w:val="0"/>
        <w:i w:val="0"/>
        <w:strike w:val="0"/>
        <w:dstrike w:val="0"/>
        <w:color w:val="000000"/>
        <w:sz w:val="20"/>
        <w:szCs w:val="20"/>
        <w:u w:val="none" w:color="000000"/>
        <w:shd w:val="clear" w:color="auto" w:fill="auto"/>
        <w:vertAlign w:val="baseline"/>
      </w:rPr>
    </w:lvl>
    <w:lvl w:ilvl="8" w:tentative="0">
      <w:start w:val="1"/>
      <w:numFmt w:val="lowerRoman"/>
      <w:lvlText w:val="%9"/>
      <w:lvlJc w:val="left"/>
      <w:pPr>
        <w:ind w:left="6227"/>
      </w:pPr>
      <w:rPr>
        <w:rFonts w:ascii="宋体" w:hAnsi="宋体" w:eastAsia="宋体" w:cs="宋体"/>
        <w:b w:val="0"/>
        <w:i w:val="0"/>
        <w:strike w:val="0"/>
        <w:dstrike w:val="0"/>
        <w:color w:val="000000"/>
        <w:sz w:val="20"/>
        <w:szCs w:val="20"/>
        <w:u w:val="none" w:color="000000"/>
        <w:shd w:val="clear" w:color="auto" w:fill="auto"/>
        <w:vertAlign w:val="baseline"/>
      </w:rPr>
    </w:lvl>
  </w:abstractNum>
  <w:abstractNum w:abstractNumId="1">
    <w:nsid w:val="7E920818"/>
    <w:multiLevelType w:val="multilevel"/>
    <w:tmpl w:val="7E920818"/>
    <w:lvl w:ilvl="0" w:tentative="0">
      <w:start w:val="1"/>
      <w:numFmt w:val="ideographDigital"/>
      <w:lvlText w:val="（%1）"/>
      <w:lvlJc w:val="left"/>
      <w:pPr>
        <w:ind w:left="110"/>
      </w:pPr>
      <w:rPr>
        <w:rFonts w:ascii="宋体" w:hAnsi="宋体" w:eastAsia="宋体" w:cs="宋体"/>
        <w:b w:val="0"/>
        <w:i w:val="0"/>
        <w:strike w:val="0"/>
        <w:dstrike w:val="0"/>
        <w:color w:val="0D0D0D"/>
        <w:sz w:val="18"/>
        <w:szCs w:val="18"/>
        <w:u w:val="none" w:color="000000"/>
        <w:shd w:val="clear" w:color="auto" w:fill="auto"/>
        <w:vertAlign w:val="baseline"/>
      </w:rPr>
    </w:lvl>
    <w:lvl w:ilvl="1" w:tentative="0">
      <w:start w:val="1"/>
      <w:numFmt w:val="lowerLetter"/>
      <w:lvlText w:val="%2"/>
      <w:lvlJc w:val="left"/>
      <w:pPr>
        <w:ind w:left="1275"/>
      </w:pPr>
      <w:rPr>
        <w:rFonts w:ascii="宋体" w:hAnsi="宋体" w:eastAsia="宋体" w:cs="宋体"/>
        <w:b w:val="0"/>
        <w:i w:val="0"/>
        <w:strike w:val="0"/>
        <w:dstrike w:val="0"/>
        <w:color w:val="0D0D0D"/>
        <w:sz w:val="18"/>
        <w:szCs w:val="18"/>
        <w:u w:val="none" w:color="000000"/>
        <w:shd w:val="clear" w:color="auto" w:fill="auto"/>
        <w:vertAlign w:val="baseline"/>
      </w:rPr>
    </w:lvl>
    <w:lvl w:ilvl="2" w:tentative="0">
      <w:start w:val="1"/>
      <w:numFmt w:val="lowerRoman"/>
      <w:lvlText w:val="%3"/>
      <w:lvlJc w:val="left"/>
      <w:pPr>
        <w:ind w:left="1995"/>
      </w:pPr>
      <w:rPr>
        <w:rFonts w:ascii="宋体" w:hAnsi="宋体" w:eastAsia="宋体" w:cs="宋体"/>
        <w:b w:val="0"/>
        <w:i w:val="0"/>
        <w:strike w:val="0"/>
        <w:dstrike w:val="0"/>
        <w:color w:val="0D0D0D"/>
        <w:sz w:val="18"/>
        <w:szCs w:val="18"/>
        <w:u w:val="none" w:color="000000"/>
        <w:shd w:val="clear" w:color="auto" w:fill="auto"/>
        <w:vertAlign w:val="baseline"/>
      </w:rPr>
    </w:lvl>
    <w:lvl w:ilvl="3" w:tentative="0">
      <w:start w:val="1"/>
      <w:numFmt w:val="decimal"/>
      <w:lvlText w:val="%4"/>
      <w:lvlJc w:val="left"/>
      <w:pPr>
        <w:ind w:left="2715"/>
      </w:pPr>
      <w:rPr>
        <w:rFonts w:ascii="宋体" w:hAnsi="宋体" w:eastAsia="宋体" w:cs="宋体"/>
        <w:b w:val="0"/>
        <w:i w:val="0"/>
        <w:strike w:val="0"/>
        <w:dstrike w:val="0"/>
        <w:color w:val="0D0D0D"/>
        <w:sz w:val="18"/>
        <w:szCs w:val="18"/>
        <w:u w:val="none" w:color="000000"/>
        <w:shd w:val="clear" w:color="auto" w:fill="auto"/>
        <w:vertAlign w:val="baseline"/>
      </w:rPr>
    </w:lvl>
    <w:lvl w:ilvl="4" w:tentative="0">
      <w:start w:val="1"/>
      <w:numFmt w:val="lowerLetter"/>
      <w:lvlText w:val="%5"/>
      <w:lvlJc w:val="left"/>
      <w:pPr>
        <w:ind w:left="3435"/>
      </w:pPr>
      <w:rPr>
        <w:rFonts w:ascii="宋体" w:hAnsi="宋体" w:eastAsia="宋体" w:cs="宋体"/>
        <w:b w:val="0"/>
        <w:i w:val="0"/>
        <w:strike w:val="0"/>
        <w:dstrike w:val="0"/>
        <w:color w:val="0D0D0D"/>
        <w:sz w:val="18"/>
        <w:szCs w:val="18"/>
        <w:u w:val="none" w:color="000000"/>
        <w:shd w:val="clear" w:color="auto" w:fill="auto"/>
        <w:vertAlign w:val="baseline"/>
      </w:rPr>
    </w:lvl>
    <w:lvl w:ilvl="5" w:tentative="0">
      <w:start w:val="1"/>
      <w:numFmt w:val="lowerRoman"/>
      <w:lvlText w:val="%6"/>
      <w:lvlJc w:val="left"/>
      <w:pPr>
        <w:ind w:left="4155"/>
      </w:pPr>
      <w:rPr>
        <w:rFonts w:ascii="宋体" w:hAnsi="宋体" w:eastAsia="宋体" w:cs="宋体"/>
        <w:b w:val="0"/>
        <w:i w:val="0"/>
        <w:strike w:val="0"/>
        <w:dstrike w:val="0"/>
        <w:color w:val="0D0D0D"/>
        <w:sz w:val="18"/>
        <w:szCs w:val="18"/>
        <w:u w:val="none" w:color="000000"/>
        <w:shd w:val="clear" w:color="auto" w:fill="auto"/>
        <w:vertAlign w:val="baseline"/>
      </w:rPr>
    </w:lvl>
    <w:lvl w:ilvl="6" w:tentative="0">
      <w:start w:val="1"/>
      <w:numFmt w:val="decimal"/>
      <w:lvlText w:val="%7"/>
      <w:lvlJc w:val="left"/>
      <w:pPr>
        <w:ind w:left="4875"/>
      </w:pPr>
      <w:rPr>
        <w:rFonts w:ascii="宋体" w:hAnsi="宋体" w:eastAsia="宋体" w:cs="宋体"/>
        <w:b w:val="0"/>
        <w:i w:val="0"/>
        <w:strike w:val="0"/>
        <w:dstrike w:val="0"/>
        <w:color w:val="0D0D0D"/>
        <w:sz w:val="18"/>
        <w:szCs w:val="18"/>
        <w:u w:val="none" w:color="000000"/>
        <w:shd w:val="clear" w:color="auto" w:fill="auto"/>
        <w:vertAlign w:val="baseline"/>
      </w:rPr>
    </w:lvl>
    <w:lvl w:ilvl="7" w:tentative="0">
      <w:start w:val="1"/>
      <w:numFmt w:val="lowerLetter"/>
      <w:lvlText w:val="%8"/>
      <w:lvlJc w:val="left"/>
      <w:pPr>
        <w:ind w:left="5595"/>
      </w:pPr>
      <w:rPr>
        <w:rFonts w:ascii="宋体" w:hAnsi="宋体" w:eastAsia="宋体" w:cs="宋体"/>
        <w:b w:val="0"/>
        <w:i w:val="0"/>
        <w:strike w:val="0"/>
        <w:dstrike w:val="0"/>
        <w:color w:val="0D0D0D"/>
        <w:sz w:val="18"/>
        <w:szCs w:val="18"/>
        <w:u w:val="none" w:color="000000"/>
        <w:shd w:val="clear" w:color="auto" w:fill="auto"/>
        <w:vertAlign w:val="baseline"/>
      </w:rPr>
    </w:lvl>
    <w:lvl w:ilvl="8" w:tentative="0">
      <w:start w:val="1"/>
      <w:numFmt w:val="lowerRoman"/>
      <w:lvlText w:val="%9"/>
      <w:lvlJc w:val="left"/>
      <w:pPr>
        <w:ind w:left="6315"/>
      </w:pPr>
      <w:rPr>
        <w:rFonts w:ascii="宋体" w:hAnsi="宋体" w:eastAsia="宋体" w:cs="宋体"/>
        <w:b w:val="0"/>
        <w:i w:val="0"/>
        <w:strike w:val="0"/>
        <w:dstrike w:val="0"/>
        <w:color w:val="0D0D0D"/>
        <w:sz w:val="18"/>
        <w:szCs w:val="18"/>
        <w:u w:val="none" w:color="000000"/>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DDB"/>
    <w:rsid w:val="001210F0"/>
    <w:rsid w:val="00184DDB"/>
    <w:rsid w:val="007A5471"/>
    <w:rsid w:val="009A50C9"/>
    <w:rsid w:val="02573516"/>
    <w:rsid w:val="10B356BB"/>
    <w:rsid w:val="2F0F652C"/>
    <w:rsid w:val="326C502D"/>
    <w:rsid w:val="37BF58A0"/>
    <w:rsid w:val="3F6800AF"/>
    <w:rsid w:val="52596191"/>
    <w:rsid w:val="5DBFADCE"/>
    <w:rsid w:val="606C14C2"/>
    <w:rsid w:val="78EEB569"/>
    <w:rsid w:val="7F85D563"/>
    <w:rsid w:val="95F949D2"/>
    <w:rsid w:val="DEBFEA1F"/>
    <w:rsid w:val="EFEF346A"/>
    <w:rsid w:val="FFD64AB0"/>
    <w:rsid w:val="FFEBC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59" w:lineRule="auto"/>
      <w:ind w:left="8854"/>
    </w:pPr>
    <w:rPr>
      <w:rFonts w:ascii="宋体" w:hAnsi="宋体" w:eastAsia="宋体" w:cs="宋体"/>
      <w:color w:val="000000"/>
      <w:kern w:val="2"/>
      <w:sz w:val="20"/>
      <w:szCs w:val="24"/>
      <w:lang w:val="en-US" w:eastAsia="zh-CN" w:bidi="ar-SA"/>
      <w14:ligatures w14:val="standardContextual"/>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7324</Words>
  <Characters>7472</Characters>
  <Lines>830</Lines>
  <Paragraphs>510</Paragraphs>
  <TotalTime>11</TotalTime>
  <ScaleCrop>false</ScaleCrop>
  <LinksUpToDate>false</LinksUpToDate>
  <CharactersWithSpaces>14286</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2026-10-07T20:25:00Z</dcterms:created>
  <dc:creator>永旭 陶</dc:creator>
  <cp:lastModifiedBy>user</cp:lastModifiedBy>
  <cp:lastPrinted>2026-10-10T19:24:00Z</cp:lastPrinted>
  <dcterms:modified xsi:type="dcterms:W3CDTF">2026-10-22T16:06:41Z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905C346A5C48DDD4E4CDC86AC1F7FB60</vt:lpwstr>
  </property>
</Properties>
</file>