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04C80">
      <w:pPr>
        <w:keepNext w:val="0"/>
        <w:keepLines w:val="0"/>
        <w:pageBreakBefore w:val="0"/>
        <w:widowControl w:val="0"/>
        <w:kinsoku/>
        <w:wordWrap/>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克拉玛依市克拉玛依区卫生健康</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“十五五”专项规划（2026—2030年）</w:t>
      </w:r>
    </w:p>
    <w:p w14:paraId="1DCA39D3">
      <w:pPr>
        <w:keepNext w:val="0"/>
        <w:keepLines w:val="0"/>
        <w:pageBreakBefore w:val="0"/>
        <w:widowControl w:val="0"/>
        <w:kinsoku/>
        <w:wordWrap/>
        <w:topLinePunct w:val="0"/>
        <w:autoSpaceDE/>
        <w:autoSpaceDN/>
        <w:bidi w:val="0"/>
        <w:adjustRightInd/>
        <w:snapToGrid/>
        <w:spacing w:line="640" w:lineRule="exact"/>
        <w:jc w:val="center"/>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（征求意见稿）</w:t>
      </w:r>
    </w:p>
    <w:p w14:paraId="52F9A00C">
      <w:pPr>
        <w:bidi w:val="0"/>
        <w:jc w:val="both"/>
        <w:rPr>
          <w:rFonts w:hint="default"/>
          <w:color w:val="000000" w:themeColor="text1"/>
          <w:highlight w:val="none"/>
          <w:lang w:val="en-US" w:eastAsia="zh-CN"/>
          <w14:textFill>
            <w14:solidFill>
              <w14:schemeClr w14:val="tx1"/>
            </w14:solidFill>
          </w14:textFill>
        </w:rPr>
      </w:pPr>
    </w:p>
    <w:p w14:paraId="1CDB3F5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0" w:name="_Toc1426"/>
      <w:bookmarkStart w:id="1" w:name="_Toc3994"/>
      <w:bookmarkStart w:id="2" w:name="_Toc17552"/>
      <w:r>
        <w:rPr>
          <w:rFonts w:hint="default" w:ascii="Times New Roman" w:hAnsi="Times New Roman" w:eastAsia="仿宋_GB2312" w:cs="Times New Roman"/>
          <w:color w:val="000000" w:themeColor="text1"/>
          <w:sz w:val="32"/>
          <w:szCs w:val="32"/>
          <w:highlight w:val="none"/>
          <w14:textFill>
            <w14:solidFill>
              <w14:schemeClr w14:val="tx1"/>
            </w14:solidFill>
          </w14:textFill>
        </w:rPr>
        <w:t>“十五五”时期</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是我国全面建设社会主义现代化国家、向第二个百年奋斗目标进军的关键阶段，也是克拉玛依区持续深化医药卫生体制改革、提升医疗卫生服务体系整体效能、实现全方位全周期保障人民健康的重要五年。为科学引领全区卫生健康事业高质量发展，更好满足人民群众日益增长的健康需求，筑牢区域公共卫生安全屏障，推动克拉玛依区建设成为宜居宜业、社会和谐、服务优质、充满活力的健康城区典范，依据《“健康中国2030”规划纲要》《国务院关于实施健康中国行动的意见》《“健康新疆2030”规划纲要》等相关政策文件精神，结合克拉玛依区经济社会发展实际与卫生健康事业发展趋势，特制定本规划。</w:t>
      </w:r>
    </w:p>
    <w:p w14:paraId="515E40F6">
      <w:pPr>
        <w:pStyle w:val="2"/>
        <w:overflowPunct w:val="0"/>
        <w:spacing w:before="313" w:beforeLines="100" w:after="313" w:afterLines="100" w:line="560" w:lineRule="exact"/>
        <w:ind w:firstLine="0" w:firstLineChars="0"/>
        <w:jc w:val="center"/>
        <w:rPr>
          <w:rFonts w:hint="eastAsia" w:ascii="Times New Roman" w:hAnsi="Times New Roman" w:eastAsia="黑体" w:cs="Times New Roman"/>
          <w:b/>
          <w:color w:val="000000" w:themeColor="text1"/>
          <w:highlight w:val="none"/>
          <w:lang w:val="en-US" w:eastAsia="zh-CN"/>
          <w14:textFill>
            <w14:solidFill>
              <w14:schemeClr w14:val="tx1"/>
            </w14:solidFill>
          </w14:textFill>
        </w:rPr>
      </w:pPr>
      <w:bookmarkStart w:id="3" w:name="_Toc1267"/>
      <w:bookmarkStart w:id="4" w:name="_Toc21059"/>
      <w:bookmarkStart w:id="5" w:name="_Toc22113"/>
      <w:r>
        <w:rPr>
          <w:rFonts w:hint="default" w:ascii="Times New Roman" w:hAnsi="Times New Roman" w:cs="Times New Roman"/>
          <w:color w:val="000000" w:themeColor="text1"/>
          <w:sz w:val="32"/>
          <w:szCs w:val="32"/>
          <w:highlight w:val="none"/>
          <w:lang w:val="zh-CN"/>
          <w14:textFill>
            <w14:solidFill>
              <w14:schemeClr w14:val="tx1"/>
            </w14:solidFill>
          </w14:textFill>
        </w:rPr>
        <w:t>第一章</w:t>
      </w:r>
      <w:bookmarkEnd w:id="3"/>
      <w:bookmarkEnd w:id="4"/>
      <w:bookmarkEnd w:id="5"/>
      <w:r>
        <w:rPr>
          <w:rFonts w:hint="eastAsia" w:ascii="Times New Roman" w:hAnsi="Times New Roman" w:cs="Times New Roman"/>
          <w:color w:val="000000" w:themeColor="text1"/>
          <w:sz w:val="32"/>
          <w:szCs w:val="32"/>
          <w:highlight w:val="none"/>
          <w:lang w:val="zh-CN" w:eastAsia="zh-CN"/>
          <w14:textFill>
            <w14:solidFill>
              <w14:schemeClr w14:val="tx1"/>
            </w14:solidFill>
          </w14:textFill>
        </w:rPr>
        <w:t>发展基础</w:t>
      </w:r>
    </w:p>
    <w:p w14:paraId="00E00B5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十四五”以来，我区卫生健康系统始终坚持以人民健康为中心的发展思想，统筹推进常态化疫情防控与卫生健康事业高质量发展，医疗卫生服务体系持续完善，服务能力明显提升，居民主要健康指标达到历史较好水平，人民群众健康获得感、幸福感和安全感</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持续</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增强。</w:t>
      </w:r>
    </w:p>
    <w:p w14:paraId="7AA3D32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——新冠疫情防控科学精准。</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坚决贯彻区委、区政府决策部署，始终坚持“人民至上、生命至上”原则，全区医疗卫生系统高效履职，充分发挥疫情防控主力军作用。持续强化流调溯源、核酸检测、环境消杀、转运隔离等核心能力建设，建强集中医学观察队伍，扎实做好重点人群疫苗接种与健康管理。通过精准施策与科学防控，在全疆多轮疫情中实现了封控时间最短、生产生活秩序影响最小的防控效果，有力保障了群众正常生活与社会平稳运转。成功实现新型冠状病毒感染从“乙类甲管”到“乙类乙管”的平稳过渡，最大程度保护了人民生命安全，经受住了疫情的重大考验。</w:t>
      </w:r>
    </w:p>
    <w:p w14:paraId="3A19412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——医疗卫生服务体系日趋完善。</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辖区医疗机构共101家，包括三级医院2家、基层医疗机构22家、民营医疗机构74家，医疗机构布局呈现出以“三级综合医院为主导，基层医疗机构为辅助，民营医疗机构为补充”的布局。资源配置持续优化，每千人口执业（助理）医师数、注册护士数、药师（士）数分别达4.66人、5.11人和0.66人，多项指标超过国家、自治区和市级标准，医疗卫生人力资源结构持续改善。基层服务能力持续提升，4家基层医疗机构达到国家“优质服务基层行”推荐标准，占比67%，提前完成2025年国家达标目标。家庭医生签约服务内涵不断丰富，“慢病一体化”管理试点稳步实施，构建起“预防-筛查-诊疗-随访”全程健康管理服务模式。创新开展家庭病床、康复延伸服务等便民举措，有效打通医疗服务“最后一公里”。基层医疗卫生服务网络不断健全，“十四五”期间新部署1个社区卫生服务站和4个社区卫生服务中心，采取自营与社会力量结合方式，恢复13个社区卫生服务站及大学城延伸点</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在医疗资源薄弱区域设置4个家庭医生服务延伸点，引进市第二人民医院康复延伸门诊，满足群众就近就医需求。推进信息化便民服务，在10个社区放置自助取药机，构建“一键续方+线上支付+扫码取药”模式，群众就医便捷度和获得感明显增强。</w:t>
      </w:r>
    </w:p>
    <w:p w14:paraId="44AA746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w:t>
      </w:r>
      <w:r>
        <w:rPr>
          <w:rFonts w:hint="default"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居民健康水平稳步提高。</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核心健康指标持续优化，人民健康福祉达到新水平。202</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年，全区人均预期寿命达到83.</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63</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岁，较2020年提升</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2.09</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岁，显著高于全国79岁的平均水平。孕产妇死亡率连续五年保持为零，优于全疆12/10万的平均水平；婴儿死亡率降至</w:t>
      </w:r>
      <w:r>
        <w:rPr>
          <w:rFonts w:hint="default" w:ascii="Times New Roman" w:hAnsi="Times New Roman" w:eastAsia="仿宋_GB2312" w:cs="Times New Roman"/>
          <w:b w:val="0"/>
          <w:bCs/>
          <w:color w:val="000000" w:themeColor="text1"/>
          <w:kern w:val="2"/>
          <w:sz w:val="32"/>
          <w:szCs w:val="32"/>
          <w:highlight w:val="none"/>
          <w:lang w:eastAsia="zh-CN" w:bidi="ar-SA"/>
          <w14:textFill>
            <w14:solidFill>
              <w14:schemeClr w14:val="tx1"/>
            </w14:solidFill>
          </w14:textFill>
        </w:rPr>
        <w:t>1.37</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‰，5岁以下儿童死亡率降至</w:t>
      </w:r>
      <w:r>
        <w:rPr>
          <w:rFonts w:hint="default" w:ascii="Times New Roman" w:hAnsi="Times New Roman" w:eastAsia="仿宋_GB2312" w:cs="Times New Roman"/>
          <w:b w:val="0"/>
          <w:bCs/>
          <w:color w:val="000000" w:themeColor="text1"/>
          <w:kern w:val="2"/>
          <w:sz w:val="32"/>
          <w:szCs w:val="32"/>
          <w:highlight w:val="none"/>
          <w:lang w:eastAsia="zh-CN" w:bidi="ar-SA"/>
          <w14:textFill>
            <w14:solidFill>
              <w14:schemeClr w14:val="tx1"/>
            </w14:solidFill>
          </w14:textFill>
        </w:rPr>
        <w:t>2.74</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‰，持续优于全疆平均水平（分别为5‰和6‰）</w:t>
      </w:r>
      <w:r>
        <w:rPr>
          <w:rFonts w:hint="default" w:ascii="Times New Roman" w:hAnsi="Times New Roman" w:eastAsia="仿宋_GB2312" w:cs="Times New Roman"/>
          <w:b w:val="0"/>
          <w:bCs/>
          <w:color w:val="000000" w:themeColor="text1"/>
          <w:kern w:val="2"/>
          <w:sz w:val="32"/>
          <w:szCs w:val="32"/>
          <w:highlight w:val="none"/>
          <w:lang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全面落实预防</w:t>
      </w:r>
      <w:r>
        <w:rPr>
          <w:rFonts w:hint="default" w:ascii="Times New Roman" w:hAnsi="Times New Roman" w:eastAsia="仿宋_GB2312" w:cs="Times New Roman"/>
          <w:b w:val="0"/>
          <w:bCs/>
          <w:color w:val="000000" w:themeColor="text1"/>
          <w:kern w:val="2"/>
          <w:sz w:val="32"/>
          <w:szCs w:val="32"/>
          <w:highlight w:val="none"/>
          <w:lang w:eastAsia="zh-CN" w:bidi="ar-SA"/>
          <w14:textFill>
            <w14:solidFill>
              <w14:schemeClr w14:val="tx1"/>
            </w14:solidFill>
          </w14:textFill>
        </w:rPr>
        <w:t>、消除“</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艾滋病、梅毒和乙肝</w:t>
      </w:r>
      <w:r>
        <w:rPr>
          <w:rFonts w:hint="default" w:ascii="Times New Roman" w:hAnsi="Times New Roman" w:eastAsia="仿宋_GB2312" w:cs="Times New Roman"/>
          <w:b w:val="0"/>
          <w:bCs/>
          <w:color w:val="000000" w:themeColor="text1"/>
          <w:kern w:val="2"/>
          <w:sz w:val="32"/>
          <w:szCs w:val="32"/>
          <w:highlight w:val="none"/>
          <w:lang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母婴传播综合干预措施</w:t>
      </w:r>
      <w:r>
        <w:rPr>
          <w:rFonts w:hint="default" w:ascii="Times New Roman" w:hAnsi="Times New Roman" w:eastAsia="仿宋_GB2312" w:cs="Times New Roman"/>
          <w:b w:val="0"/>
          <w:bCs/>
          <w:color w:val="000000" w:themeColor="text1"/>
          <w:kern w:val="2"/>
          <w:sz w:val="32"/>
          <w:szCs w:val="32"/>
          <w:highlight w:val="none"/>
          <w:lang w:eastAsia="zh-CN" w:bidi="ar-SA"/>
          <w14:textFill>
            <w14:solidFill>
              <w14:schemeClr w14:val="tx1"/>
            </w14:solidFill>
          </w14:textFill>
        </w:rPr>
        <w:t>，实现零传播目标。重大慢性病过早死亡率降至7.09%，</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远低于全国15.0%的平均水平。居民健康素养水平达到</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34.</w:t>
      </w:r>
      <w:r>
        <w:rPr>
          <w:rFonts w:hint="default" w:ascii="Times New Roman" w:hAnsi="Times New Roman" w:eastAsia="仿宋_GB2312" w:cs="Times New Roman"/>
          <w:b w:val="0"/>
          <w:bCs/>
          <w:color w:val="000000" w:themeColor="text1"/>
          <w:kern w:val="2"/>
          <w:sz w:val="32"/>
          <w:szCs w:val="32"/>
          <w:highlight w:val="none"/>
          <w:lang w:eastAsia="zh-CN" w:bidi="ar-SA"/>
          <w14:textFill>
            <w14:solidFill>
              <w14:schemeClr w14:val="tx1"/>
            </w14:solidFill>
          </w14:textFill>
        </w:rPr>
        <w:t>84</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%，高于全国3</w:t>
      </w:r>
      <w:r>
        <w:rPr>
          <w:rFonts w:hint="default" w:ascii="Times New Roman" w:hAnsi="Times New Roman" w:eastAsia="仿宋_GB2312" w:cs="Times New Roman"/>
          <w:b w:val="0"/>
          <w:bCs/>
          <w:color w:val="000000" w:themeColor="text1"/>
          <w:kern w:val="2"/>
          <w:sz w:val="32"/>
          <w:szCs w:val="32"/>
          <w:highlight w:val="none"/>
          <w:lang w:eastAsia="zh-CN" w:bidi="ar-SA"/>
          <w14:textFill>
            <w14:solidFill>
              <w14:schemeClr w14:val="tx1"/>
            </w14:solidFill>
          </w14:textFill>
        </w:rPr>
        <w:t>3.69</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%的平均水平；15岁以上人群吸烟率降至</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20.07</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%，低于全国23.2%的平均水平。重点慢性病防控体系日益完善，高血压、糖尿病规范管理率达87.07%，肿瘤、心脑血管疾病早诊早治覆盖面持续扩大。</w:t>
      </w:r>
    </w:p>
    <w:p w14:paraId="4AEA7C3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w:t>
      </w:r>
      <w:r>
        <w:rPr>
          <w:rFonts w:hint="default"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中医药服务扎实推进。</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中医药服务体系日益完善，服务能力显著增强。“十四五”期间，积极构建城市医疗集团“1+5+N”中医外治服务新格局，建成1个中医外治中心及</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个基层中医外治实践基地，推动中医药服务资源有效下沉。全区所有社区卫生服务中心和乡镇卫生院均完成“中医</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馆</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建设，实现中医药服务全覆盖。创新推出中医药颗粒剂服务，打通综合医院与基层医疗卫生机构中草药信息系统，实现中草药房资源共享，建立中草药远程审方、代煎配送一体化服务机制，有效解决基层群众“用药难”问题。</w:t>
      </w:r>
      <w:r>
        <w:rPr>
          <w:rFonts w:hint="default" w:ascii="Times New Roman" w:hAnsi="Times New Roman" w:eastAsia="仿宋_GB2312" w:cs="Times New Roman"/>
          <w:b w:val="0"/>
          <w:bCs/>
          <w:color w:val="000000" w:themeColor="text1"/>
          <w:kern w:val="2"/>
          <w:sz w:val="32"/>
          <w:szCs w:val="32"/>
          <w:highlight w:val="none"/>
          <w:u w:val="none"/>
          <w:lang w:val="en-US" w:eastAsia="zh-CN" w:bidi="ar-SA"/>
          <w14:textFill>
            <w14:solidFill>
              <w14:schemeClr w14:val="tx1"/>
            </w14:solidFill>
          </w14:textFill>
        </w:rPr>
        <w:t>基层中医门诊服务量</w:t>
      </w:r>
      <w:r>
        <w:rPr>
          <w:rFonts w:hint="eastAsia" w:ascii="Times New Roman" w:hAnsi="Times New Roman" w:eastAsia="仿宋_GB2312" w:cs="Times New Roman"/>
          <w:b w:val="0"/>
          <w:bCs/>
          <w:color w:val="000000" w:themeColor="text1"/>
          <w:kern w:val="2"/>
          <w:sz w:val="32"/>
          <w:szCs w:val="32"/>
          <w:highlight w:val="none"/>
          <w:u w:val="none"/>
          <w:lang w:eastAsia="zh-CN" w:bidi="ar-SA"/>
          <w14:textFill>
            <w14:solidFill>
              <w14:schemeClr w14:val="tx1"/>
            </w14:solidFill>
          </w14:textFill>
        </w:rPr>
        <w:t>较“十三五”末</w:t>
      </w:r>
      <w:r>
        <w:rPr>
          <w:rFonts w:hint="default" w:ascii="Times New Roman" w:hAnsi="Times New Roman" w:eastAsia="仿宋_GB2312" w:cs="Times New Roman"/>
          <w:b w:val="0"/>
          <w:bCs/>
          <w:color w:val="000000" w:themeColor="text1"/>
          <w:kern w:val="2"/>
          <w:sz w:val="32"/>
          <w:szCs w:val="32"/>
          <w:highlight w:val="none"/>
          <w:u w:val="none"/>
          <w:lang w:eastAsia="zh-CN" w:bidi="ar-SA"/>
          <w14:textFill>
            <w14:solidFill>
              <w14:schemeClr w14:val="tx1"/>
            </w14:solidFill>
          </w14:textFill>
        </w:rPr>
        <w:t>增长</w:t>
      </w:r>
      <w:r>
        <w:rPr>
          <w:rFonts w:hint="eastAsia" w:ascii="Times New Roman" w:hAnsi="Times New Roman" w:eastAsia="仿宋_GB2312" w:cs="Times New Roman"/>
          <w:b w:val="0"/>
          <w:bCs/>
          <w:color w:val="000000" w:themeColor="text1"/>
          <w:kern w:val="2"/>
          <w:sz w:val="32"/>
          <w:szCs w:val="32"/>
          <w:highlight w:val="none"/>
          <w:u w:val="none"/>
          <w:lang w:val="en-US" w:eastAsia="zh-CN" w:bidi="ar-SA"/>
          <w14:textFill>
            <w14:solidFill>
              <w14:schemeClr w14:val="tx1"/>
            </w14:solidFill>
          </w14:textFill>
        </w:rPr>
        <w:t>1.5</w:t>
      </w:r>
      <w:r>
        <w:rPr>
          <w:rFonts w:hint="default" w:ascii="Times New Roman" w:hAnsi="Times New Roman" w:eastAsia="仿宋_GB2312" w:cs="Times New Roman"/>
          <w:b w:val="0"/>
          <w:bCs/>
          <w:color w:val="000000" w:themeColor="text1"/>
          <w:kern w:val="2"/>
          <w:sz w:val="32"/>
          <w:szCs w:val="32"/>
          <w:highlight w:val="none"/>
          <w:u w:val="none"/>
          <w:lang w:eastAsia="zh-CN" w:bidi="ar-SA"/>
          <w14:textFill>
            <w14:solidFill>
              <w14:schemeClr w14:val="tx1"/>
            </w14:solidFill>
          </w14:textFill>
        </w:rPr>
        <w:t>倍</w:t>
      </w:r>
      <w:r>
        <w:rPr>
          <w:rFonts w:hint="eastAsia" w:ascii="Times New Roman" w:hAnsi="Times New Roman" w:eastAsia="仿宋_GB2312" w:cs="Times New Roman"/>
          <w:b w:val="0"/>
          <w:bCs/>
          <w:color w:val="000000" w:themeColor="text1"/>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中医药服务的可及性、便捷性和群众认可度大幅提升，初步形成了具有区域特色的中医药服务新模式。产业发展协同推进，联动农业农村局打造“林地+中药材”产业模式，建成黄芩、黄芪等标准化种植基地3个，总面积达1000亩，亩产效益约2500元，实现中医药服务与产业发展协同提升。</w:t>
      </w:r>
    </w:p>
    <w:p w14:paraId="102E844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楷体_GB2312" w:cs="Times New Roman"/>
          <w:b w:val="0"/>
          <w:bCs/>
          <w:color w:val="000000" w:themeColor="text1"/>
          <w:kern w:val="2"/>
          <w:sz w:val="32"/>
          <w:szCs w:val="32"/>
          <w:highlight w:val="none"/>
          <w:lang w:val="en-US" w:eastAsia="zh-CN" w:bidi="ar-SA"/>
          <w14:textFill>
            <w14:solidFill>
              <w14:schemeClr w14:val="tx1"/>
            </w14:solidFill>
          </w14:textFill>
        </w:rPr>
        <w:t>公共卫生安全有力保障。</w:t>
      </w:r>
      <w:r>
        <w:rPr>
          <w:rFonts w:hint="default" w:ascii="Times New Roman" w:hAnsi="Times New Roman" w:eastAsia="仿宋_GB2312" w:cs="Times New Roman"/>
          <w:color w:val="000000" w:themeColor="text1"/>
          <w:w w:val="100"/>
          <w:sz w:val="32"/>
          <w:szCs w:val="40"/>
          <w:highlight w:val="none"/>
          <w:lang w:val="en-US" w:eastAsia="zh-CN"/>
          <w14:textFill>
            <w14:solidFill>
              <w14:schemeClr w14:val="tx1"/>
            </w14:solidFill>
          </w14:textFill>
        </w:rPr>
        <w:t>疾病预防控制体系改革持续深化，疾控局挂牌和疾控与监督的整合重组顺利完成，新型疾控工作体系基本重塑。</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区级实验室通过自治区生物安全二级实验室备案登记，具备微生物、寄生虫、艾滋病等3类18项和城乡生活饮用水10项常规指标检测能力</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w w:val="100"/>
          <w:sz w:val="32"/>
          <w:szCs w:val="40"/>
          <w:highlight w:val="none"/>
          <w:lang w:val="en-US" w:eastAsia="zh-CN"/>
          <w14:textFill>
            <w14:solidFill>
              <w14:schemeClr w14:val="tx1"/>
            </w14:solidFill>
          </w14:textFill>
        </w:rPr>
        <w:t>“1+6”应急队伍建设初见成效，物资保障体系逐步完善，</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应急处突能力显著增强。传染病防控工作科学精准，“十四五”期间，全区无法定甲类传染病报告，其他法定传染病病例（除新冠）年平均报告778例，报告发病率230.15/10万，较“十三五”期间（434.12/10万）下降203.97%。艾滋病、肺结核等重大传染病报告发病率远低于全国、全疆水平，我区已实现连续39年无脊髓灰质炎野病毒病例和白喉确诊病例，连续25年无新生儿破伤风病例，连续19年无流脑确诊病例。国家慢性病综合防控示范区顺利通过自治区两轮复审验收，成功承办自治区职业病防治法宣传周启动仪式，获评“中国居民心脑血管事件监测”项目先进单位和“健康企业建设行政推广优秀案例”</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辖区6家企业荣获“自治区级健康企业”称号。</w:t>
      </w:r>
    </w:p>
    <w:p w14:paraId="34FC56F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托育服务体系日趋健全。全区婴幼儿照护服务取得积极进展，每千人口托位数由2021年的0.9个提升至5.0个，总托位数达1690个，优于全国平均水平。服务供给结构持续优化，形成公建民营、幼儿园延伸服务和社会力量办托相结合的多元模式，现有托育机构20家，包括3家公建企营社区托育点、5家幼儿园延伸服务点和12家社会办托机构。在全国率先推出育儿补贴政策，累计发放1417万元，惠及1596人次；投入4160万元推进公办托育能力建设，完成3个社区托育中心新建及公办幼儿园环境改造，“十四五”期间新增托位1120个，推动托育空间、卫生保健与安全设施整体升级。全区3岁以下婴幼儿送托率由2021年的4.6%提升至8.16%，超过全国7.86%的平均水平，托育费用下降11%，有效减轻了家庭生育养育负担。</w:t>
      </w:r>
    </w:p>
    <w:p w14:paraId="4C9E1EF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老年健康服务融合拓展。全区65岁以上老年人健康管理率超过80%，创新实施“红黄绿”三色动态分类管理模式，为不同健康状况的老年人提供精准服务。医养结合机构布局稳步推进，现有11家医疗机构参与医养结合服务，养老服务设施实现全域均衡覆盖，涵盖2家内设医疗机构的养老机构和9家覆盖5个街道的养老服务中心，其中5家内设医疗机构，其余中心（站）与基层医疗机构签约率达100%。服务模式更加多元，聚焦“社区+机构+家庭”融合服务，推动2家医疗机构通过内设、延伸、上门等方式，提供常见病诊疗、慢性病管理及上门护理（如插拔胃管、尿管等）以及中医体质辨识、推拿、艾灸等特色项目。依托“立克办”小程序“智慧养老”模块，整合5家医疗机构资源，开通助浴、艾灸、康复护理等上门服务线上预约，实现“线上点单、线下服务”闭环管理。整合社区卫生与党群服务资源，建成1个全国示范性老年友好社区，7家医疗机构获评“自治区老年友善医疗机构”，老年人就医体验和健康获得感不断提升。</w:t>
      </w:r>
    </w:p>
    <w:p w14:paraId="2AE7E3E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b w:val="0"/>
          <w:bCs w:val="0"/>
          <w:i w:val="0"/>
          <w:iCs w:val="0"/>
          <w:caps w:val="0"/>
          <w:color w:val="000000" w:themeColor="text1"/>
          <w:spacing w:val="0"/>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w:t>
      </w:r>
      <w:r>
        <w:rPr>
          <w:rFonts w:hint="default"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医药卫生体制改革深化拓展。</w:t>
      </w:r>
      <w:r>
        <w:rPr>
          <w:rFonts w:hint="default" w:ascii="Times New Roman" w:hAnsi="Times New Roman" w:eastAsia="仿宋_GB2312" w:cs="Times New Roman"/>
          <w:b w:val="0"/>
          <w:bCs/>
          <w:color w:val="000000" w:themeColor="text1"/>
          <w:kern w:val="2"/>
          <w:sz w:val="32"/>
          <w:szCs w:val="32"/>
          <w:highlight w:val="none"/>
          <w:u w:val="none"/>
          <w:lang w:val="en-US" w:eastAsia="zh-CN" w:bidi="ar-SA"/>
          <w14:textFill>
            <w14:solidFill>
              <w14:schemeClr w14:val="tx1"/>
            </w14:solidFill>
          </w14:textFill>
        </w:rPr>
        <w:t>城市医疗集团建设扎实推进，分级诊疗格局逐步完善。</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通过优化资源配置和畅通双向转诊机制，推动15名专家常态化下沉基层，</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落实</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6个月以上</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固定人员下沉社区卫生服务中心</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u w:val="none"/>
          <w:lang w:val="en-US" w:eastAsia="zh-CN" w:bidi="ar-SA"/>
          <w14:textFill>
            <w14:solidFill>
              <w14:schemeClr w14:val="tx1"/>
            </w14:solidFill>
          </w14:textFill>
        </w:rPr>
        <w:t>2025年接诊8561人次，开展带教和义诊</w:t>
      </w:r>
      <w:r>
        <w:rPr>
          <w:rFonts w:hint="eastAsia" w:ascii="Times New Roman" w:hAnsi="Times New Roman" w:eastAsia="仿宋_GB2312" w:cs="Times New Roman"/>
          <w:b w:val="0"/>
          <w:bCs/>
          <w:color w:val="000000" w:themeColor="text1"/>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建成</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全市首个</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“油城名医”工作站及6</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个</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名医工作室，实现基层</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名医工作室</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全覆盖。实施药品一体化管理，统一目录、增补</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在用药品</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至440余种</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建立审方中心和中心药房，打通信息平台，实现处方在线审核与药品全流程信息化管理，保障用药可及与连续性。</w:t>
      </w:r>
      <w:bookmarkStart w:id="6" w:name="OLE_LINK2"/>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全面落实“两个允许”政策，深入推进人事薪酬制度改革，突破现行事业单位工资调控水平，允许医疗服务收入扣除成本并按规定提取各项基金后主要用于人员奖励，有效调动医务人员积极性。</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基层医疗机构</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诊疗量</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较“十三五”末</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增长</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20%，社区卫生服务机构</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门诊诊疗量</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较“十三五”末</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增长</w:t>
      </w:r>
      <w:r>
        <w:rPr>
          <w:rFonts w:hint="default" w:ascii="Times New Roman" w:hAnsi="Times New Roman" w:eastAsia="仿宋_GB2312" w:cs="Times New Roman"/>
          <w:b w:val="0"/>
          <w:bCs/>
          <w:color w:val="000000" w:themeColor="text1"/>
          <w:kern w:val="2"/>
          <w:sz w:val="32"/>
          <w:szCs w:val="32"/>
          <w:highlight w:val="none"/>
          <w:lang w:eastAsia="zh-CN" w:bidi="ar-SA"/>
          <w14:textFill>
            <w14:solidFill>
              <w14:schemeClr w14:val="tx1"/>
            </w14:solidFill>
          </w14:textFill>
        </w:rPr>
        <w:t>93.24</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bookmarkEnd w:id="6"/>
    </w:p>
    <w:p w14:paraId="6BC38FB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w:t>
      </w:r>
      <w:r>
        <w:rPr>
          <w:rFonts w:hint="default"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爱国卫生运动深入开展。</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十四五”期间，克拉玛依区持续深化爱国卫生运动，将其与常态化疫情防控、健康城区建设紧密结合，推动城乡环境面貌整体提升。巩固国家卫生城市创建成果，建立健全长效管理机制，常态化开展全域环境卫生整治行动，持续推进周五大扫除活动，累计清理卫生死角4万余处。严格规范环境卫生监督管理，定期召开爱卫会全体会议及专题会议17次研究部署相关工作，累计开展环境卫生监督检查300余次，全力营造整洁宜居的城市环境。</w:t>
      </w:r>
      <w:r>
        <w:rPr>
          <w:rFonts w:hint="default" w:ascii="Times New Roman" w:hAnsi="Times New Roman" w:eastAsia="仿宋_GB2312" w:cs="Times New Roman"/>
          <w:b w:val="0"/>
          <w:bCs/>
          <w:strike w:val="0"/>
          <w:dstrike w:val="0"/>
          <w:color w:val="000000" w:themeColor="text1"/>
          <w:kern w:val="2"/>
          <w:sz w:val="32"/>
          <w:szCs w:val="32"/>
          <w:highlight w:val="none"/>
          <w:lang w:eastAsia="zh-CN" w:bidi="ar-SA"/>
          <w14:textFill>
            <w14:solidFill>
              <w14:schemeClr w14:val="tx1"/>
            </w14:solidFill>
          </w14:textFill>
        </w:rPr>
        <w:t>申报</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自治区卫生乡镇（街道）、卫生村（社区）12个；自治区卫生单位（企业）8个</w:t>
      </w:r>
      <w:r>
        <w:rPr>
          <w:rFonts w:hint="default" w:ascii="Times New Roman" w:hAnsi="Times New Roman" w:eastAsia="仿宋_GB2312" w:cs="Times New Roman"/>
          <w:b w:val="0"/>
          <w:bCs/>
          <w:color w:val="000000" w:themeColor="text1"/>
          <w:kern w:val="2"/>
          <w:sz w:val="32"/>
          <w:szCs w:val="32"/>
          <w:highlight w:val="none"/>
          <w:lang w:eastAsia="zh-CN" w:bidi="ar-SA"/>
          <w14:textFill>
            <w14:solidFill>
              <w14:schemeClr w14:val="tx1"/>
            </w14:solidFill>
          </w14:textFill>
        </w:rPr>
        <w:t>。广泛开展健康科普与控烟限酒行动，党政机关无烟单位建成率达100%，组织健康宣传活动1300余场，受理控烟相关诉求15起，办结率100%。</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持续强化病媒生物防制，开展集中消杀260次，设置防制设施1.2万余处，确保病媒生物密度持续控制在国家标准以内。通过多部门协同、全民参与，逐步形成政府主导、部门协作、社会动员的良好工作格局，为“十五五”时期健康克拉玛依建设奠定了坚实基础。</w:t>
      </w:r>
    </w:p>
    <w:p w14:paraId="37778DF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w:t>
      </w:r>
      <w:r>
        <w:rPr>
          <w:rFonts w:hint="default"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卫生健康信息化建设扎实推进</w:t>
      </w:r>
      <w:r>
        <w:rPr>
          <w:rFonts w:hint="eastAsia" w:ascii="楷体_GB2312" w:hAnsi="楷体_GB2312" w:eastAsia="楷体_GB2312" w:cs="楷体_GB2312"/>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“十四五”期间，我区系统推进卫生健康数字化转型，建成覆盖广泛、协同高效的一体化信息支撑体系。完成全区中医药信息服务系统建设，实现中草药在线审方与代煎配送一体化服务。</w:t>
      </w:r>
      <w:r>
        <w:rPr>
          <w:rFonts w:hint="default" w:ascii="Times New Roman" w:hAnsi="Times New Roman" w:eastAsia="仿宋_GB2312" w:cs="Times New Roman"/>
          <w:b w:val="0"/>
          <w:bCs/>
          <w:color w:val="000000" w:themeColor="text1"/>
          <w:kern w:val="2"/>
          <w:sz w:val="32"/>
          <w:szCs w:val="32"/>
          <w:highlight w:val="none"/>
          <w:lang w:eastAsia="zh-CN" w:bidi="ar-SA"/>
          <w14:textFill>
            <w14:solidFill>
              <w14:schemeClr w14:val="tx1"/>
            </w14:solidFill>
          </w14:textFill>
        </w:rPr>
        <w:t>全面上线使用自治区冠新基层医疗卫生机构信息系统，</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实现居民健康信息动态更新。升级疾病预防控制信息系统，强化传染病、职业病及慢性病的实时监测与预警能力。全面升级区域健康体检信息系统，显著提升全民体检数据上传效率与准确性，减轻基层工作负担。拓展</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诊疗</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服务功能，实现在线</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一键续方</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与移动支付，推进药事管理服务系统建设，通过药品采购配送、全程溯源等全流程数字化管理，提升基层药事服务精细化水平。全区五个区域医疗中心全面建成智慧化预防接种门诊，实现预约、接种、留观全流程数字化管理，为</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十五五</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智慧医疗建设奠定坚实基础。</w:t>
      </w:r>
    </w:p>
    <w:p w14:paraId="01E39B51">
      <w:pP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br w:type="page"/>
      </w:r>
    </w:p>
    <w:p w14:paraId="6E16A7FB">
      <w:pPr>
        <w:pStyle w:val="2"/>
        <w:numPr>
          <w:ilvl w:val="0"/>
          <w:numId w:val="1"/>
        </w:numPr>
        <w:overflowPunct w:val="0"/>
        <w:spacing w:before="313" w:beforeLines="100" w:after="313" w:afterLines="100" w:line="560" w:lineRule="exact"/>
        <w:ind w:firstLine="0" w:firstLineChars="0"/>
        <w:jc w:val="center"/>
        <w:rPr>
          <w:rFonts w:hint="eastAsia" w:ascii="Times New Roman" w:hAnsi="Times New Roman" w:cs="Times New Roman"/>
          <w:color w:val="000000" w:themeColor="text1"/>
          <w:sz w:val="32"/>
          <w:szCs w:val="32"/>
          <w:highlight w:val="none"/>
          <w:lang w:val="zh-CN" w:eastAsia="zh-CN"/>
          <w14:textFill>
            <w14:solidFill>
              <w14:schemeClr w14:val="tx1"/>
            </w14:solidFill>
          </w14:textFill>
        </w:rPr>
      </w:pPr>
      <w:r>
        <w:rPr>
          <w:rFonts w:hint="eastAsia" w:ascii="Times New Roman" w:hAnsi="Times New Roman" w:cs="Times New Roman"/>
          <w:color w:val="000000" w:themeColor="text1"/>
          <w:sz w:val="32"/>
          <w:szCs w:val="32"/>
          <w:highlight w:val="none"/>
          <w:lang w:val="zh-CN" w:eastAsia="zh-CN"/>
          <w14:textFill>
            <w14:solidFill>
              <w14:schemeClr w14:val="tx1"/>
            </w14:solidFill>
          </w14:textFill>
        </w:rPr>
        <w:t>形势与挑战</w:t>
      </w:r>
    </w:p>
    <w:p w14:paraId="13BE69EB">
      <w:pPr>
        <w:pStyle w:val="2"/>
        <w:numPr>
          <w:ilvl w:val="0"/>
          <w:numId w:val="0"/>
        </w:numPr>
        <w:overflowPunct w:val="0"/>
        <w:spacing w:before="313" w:beforeLines="100" w:after="313" w:afterLines="100" w:line="560" w:lineRule="exact"/>
        <w:jc w:val="center"/>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第一节发展新形势与新要求</w:t>
      </w:r>
    </w:p>
    <w:p w14:paraId="3178DE9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十五五</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时期是克拉玛依区深化医药卫生体制改革、提升医疗卫生服务体系整体效能、实现从</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以治病为中心</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向</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以人民健康为中心</w:t>
      </w: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转变的重要战略机遇期。面对新发展阶段的要求，我区卫生健康事业迎来前所未有的发展机遇，同时也面临一系列深刻变革带来的新要求和新挑战。</w:t>
      </w:r>
    </w:p>
    <w:p w14:paraId="6E98BB9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一、人口结构深刻变化与健康需求多元化</w:t>
      </w:r>
    </w:p>
    <w:p w14:paraId="0184E99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十五五”时期是我国人口发展进入负增长与深度老龄化叠加的关键阶段。我区将面临人口负增长与深度老龄化双重压力。克拉玛依区60岁以上户籍人口占比预计将突破25%，高龄化、空巢化趋势进一步加剧，带来慢性病疾病负担持续加重，失能半失能老年人照护需求显著增长。三孩政策效应持续释放，对生育保障、婴幼儿照护、妇幼保健等服务资源提出更高要求，优质普惠的育儿服务体系亟待完善。居民健康需求呈现多元化、个性化特征，从传统疾病治疗向预防、治疗、康复、健康管理全链条延伸，从标准化服务向精准化、智能化服务升级。要求我们必须加快构建覆盖全生命周期的健康服务体系，推动服务模式从碎片化向整合式转变，服务供给从规模化向精准化提升，更好满足不同年龄、不同群体多层次、多样化的健康需求。</w:t>
      </w:r>
    </w:p>
    <w:p w14:paraId="47A4422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t>二、城区战略定位对健康服务能级提出新要求</w:t>
      </w:r>
    </w:p>
    <w:p w14:paraId="10DB6C7F">
      <w:pPr>
        <w:keepNext w:val="0"/>
        <w:keepLines w:val="0"/>
        <w:pageBreakBefore w:val="0"/>
        <w:widowControl/>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围绕克拉玛依市建设宜居宜业现代化城市的发展目标，卫生健康事业承担着筑牢健康基石、优化发展环境、提升民生福祉的战略使命。需在持续优化“15分钟医疗服务圈”、夯实基层医疗卫生服务网底的基础上，全面加强疾病预防控制体系建设，强化医防协同与平急结合能力；同时，以数字化、智能化赋能卫生健康服务模式创新与管理效能提升，着力推动优质医疗资源扩容下沉与区域均衡布局，加快构建与城市发展能级和人民群众健康需求相适应的高质量、整合型医疗卫生服务体系。</w:t>
      </w:r>
    </w:p>
    <w:p w14:paraId="3D372BD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t>三、政策集成与系统改革进入深水区</w:t>
      </w:r>
    </w:p>
    <w:p w14:paraId="75E1E0B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t>随着医药卫生体制改革深入推进，</w:t>
      </w:r>
      <w:r>
        <w:rPr>
          <w:rFonts w:hint="eastAsia"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t>三医联动、</w:t>
      </w:r>
      <w:r>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t>药品耗材管理、人事薪酬制度优化等进入关键阶段。改革亟需突破体制机制壁垒，激发医疗机构内生动力。当前，部门协同机制有待完善，部分医疗机构对政策理解不深、运用不足。需要建立健全工作协调机制，加强政策统筹，推动各项改革措施有机衔接。同时要强化医疗机构政策执行能力建设，提升运用政策实现降本增效的水平，确保改革红利真正惠及人民群众。</w:t>
      </w:r>
    </w:p>
    <w:p w14:paraId="322178F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default" w:ascii="黑体" w:hAnsi="黑体" w:eastAsia="黑体" w:cs="黑体"/>
          <w:color w:val="000000" w:themeColor="text1"/>
          <w:sz w:val="32"/>
          <w:szCs w:val="32"/>
          <w:highlight w:val="none"/>
          <w:lang w:val="en-US" w:eastAsia="zh-CN"/>
          <w14:textFill>
            <w14:solidFill>
              <w14:schemeClr w14:val="tx1"/>
            </w14:solidFill>
          </w14:textFill>
        </w:rPr>
        <w:t>、公共卫生安全面临</w:t>
      </w:r>
      <w:r>
        <w:rPr>
          <w:rFonts w:hint="eastAsia" w:ascii="黑体" w:hAnsi="黑体" w:eastAsia="黑体" w:cs="黑体"/>
          <w:color w:val="000000" w:themeColor="text1"/>
          <w:sz w:val="32"/>
          <w:szCs w:val="32"/>
          <w:highlight w:val="none"/>
          <w:lang w:val="en-US" w:eastAsia="zh-CN"/>
          <w14:textFill>
            <w14:solidFill>
              <w14:schemeClr w14:val="tx1"/>
            </w14:solidFill>
          </w14:textFill>
        </w:rPr>
        <w:t>复杂挑战</w:t>
      </w:r>
    </w:p>
    <w:p w14:paraId="69105E2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随着人员流动频次增加、城市功能不断完善，传染病输入传播风险持续存在，季节性传染病与新发突发传染病叠加防控压力凸显。辖区公共卫生服务能力与群众日益增长的健康需求仍有差距，应急处置物资储备、快速响应机制等核心环节有待进一步强化。城市化、工业化加快，环境因素对公共卫生的潜在影响逐步显现，慢性非传染性疾病防控任务愈发繁重。面对多重挑战，亟须进一步健全公共卫生防控体系，补齐能力短板，提升综合防控水平，切实筑牢区域公共卫生安全屏障。</w:t>
      </w:r>
    </w:p>
    <w:p w14:paraId="7B48B6C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default" w:ascii="黑体" w:hAnsi="黑体" w:eastAsia="黑体" w:cs="黑体"/>
          <w:color w:val="000000" w:themeColor="text1"/>
          <w:sz w:val="32"/>
          <w:szCs w:val="32"/>
          <w:highlight w:val="none"/>
          <w:lang w:val="en-US" w:eastAsia="zh-CN"/>
          <w14:textFill>
            <w14:solidFill>
              <w14:schemeClr w14:val="tx1"/>
            </w14:solidFill>
          </w14:textFill>
        </w:rPr>
        <w:t>、心理健康和精神卫生工作面临挑战</w:t>
      </w:r>
    </w:p>
    <w:p w14:paraId="0F559BE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t>公众心理健康意识显著提升，服务需求从单纯诊疗向“预防-干预-康复”全链条延伸，青少年及儿童心理健康、睡眠障碍、职业压力等细分领域需求激增并成为服务新增长点。同时也存在区域内仅市中西医结合医院设有精神类治疗科室，基层医疗机构普遍缺乏相应精神心理门诊及专业人员，难以有效提供常见精神障碍筛查和转诊服务的供给短板。</w:t>
      </w:r>
    </w:p>
    <w:p w14:paraId="252FB430">
      <w:pPr>
        <w:pStyle w:val="2"/>
        <w:numPr>
          <w:ilvl w:val="0"/>
          <w:numId w:val="0"/>
        </w:numPr>
        <w:overflowPunct w:val="0"/>
        <w:spacing w:before="313" w:beforeLines="100" w:after="313" w:afterLines="100" w:line="560" w:lineRule="exact"/>
        <w:jc w:val="center"/>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t>第二节主要问题与挑战</w:t>
      </w:r>
    </w:p>
    <w:p w14:paraId="0CBB9CE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t>在总结“十四五”成就的同时，必须清醒地认识到，我区卫生健康事业发展仍面临一些突出的问题和挑战。</w:t>
      </w:r>
    </w:p>
    <w:p w14:paraId="3E8AEFD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一、资源配置与空间布局仍存短板</w:t>
      </w:r>
    </w:p>
    <w:p w14:paraId="6F57F7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t>基层医疗机构总量不足与</w:t>
      </w:r>
      <w:r>
        <w:rPr>
          <w:rFonts w:hint="eastAsia"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t>结构</w:t>
      </w:r>
      <w:r>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t>不均衡并存，新建城区和偏远街道（如古海街道）仍存服务盲区，每千人口公共卫生人员数、全科医生数低于国家标准。设施设备老化问题突出，必需医疗设备配备不足。优质医疗资源相对匮乏，基层服务能级有待进一步提升。</w:t>
      </w:r>
    </w:p>
    <w:p w14:paraId="60EABEC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w:t>
      </w:r>
      <w:r>
        <w:rPr>
          <w:rFonts w:hint="default" w:ascii="黑体" w:hAnsi="黑体" w:eastAsia="黑体" w:cs="黑体"/>
          <w:color w:val="000000" w:themeColor="text1"/>
          <w:sz w:val="32"/>
          <w:szCs w:val="32"/>
          <w:highlight w:val="none"/>
          <w:lang w:val="en-US" w:eastAsia="zh-CN"/>
          <w14:textFill>
            <w14:solidFill>
              <w14:schemeClr w14:val="tx1"/>
            </w14:solidFill>
          </w14:textFill>
        </w:rPr>
        <w:t>、服务体系韧性及协同能力不足</w:t>
      </w:r>
    </w:p>
    <w:p w14:paraId="67588B6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t>基层医疗机构服务能力仍显薄弱，家庭医生签约“重签约、轻服务”现象依然存在，居民获得感不强。医防融合机制尚不健全，慢性病防控、老年健康管理等服务未形成闭环。面对“一增一减一流动”带来的需求变化，基层资源短板与群众就医习惯叠加，短期内难以满足高质量健康服务需求。</w:t>
      </w:r>
    </w:p>
    <w:p w14:paraId="50FEA66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三、信息化支撑作用薄弱</w:t>
      </w:r>
    </w:p>
    <w:p w14:paraId="7404653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val="0"/>
          <w:color w:val="000000" w:themeColor="text1"/>
          <w:kern w:val="2"/>
          <w:sz w:val="32"/>
          <w:szCs w:val="32"/>
          <w:highlight w:val="none"/>
          <w:lang w:val="en-US" w:eastAsia="zh-CN" w:bidi="ar-SA"/>
          <w14:textFill>
            <w14:solidFill>
              <w14:schemeClr w14:val="tx1"/>
            </w14:solidFill>
          </w14:textFill>
        </w:rPr>
        <w:t>对照高质量发展和智慧化转型要求，现有信息化系统支撑作用薄弱，与智慧化需求适配度低。系统未实现一体化互联，机构间电子健康档案、诊疗信息难以实时互通，业务协同效率低。智能化应用欠缺，AI辅助诊疗等工具应用不足，居民健康数据采集和风险预警依赖人工。硬件与软件未完成自主可控升级，核心设施国产化程度低，数据安全底座薄弱。缺乏统一的区域健康信息平台，制约基层服务质量与管理效率。</w:t>
      </w:r>
    </w:p>
    <w:p w14:paraId="57E32DF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default" w:ascii="黑体" w:hAnsi="黑体" w:eastAsia="黑体" w:cs="黑体"/>
          <w:color w:val="000000" w:themeColor="text1"/>
          <w:sz w:val="32"/>
          <w:szCs w:val="32"/>
          <w:highlight w:val="none"/>
          <w:lang w:val="en-US" w:eastAsia="zh-CN"/>
          <w14:textFill>
            <w14:solidFill>
              <w14:schemeClr w14:val="tx1"/>
            </w14:solidFill>
          </w14:textFill>
        </w:rPr>
        <w:t>、人才队伍总量不足与结构矛盾突出</w:t>
      </w:r>
    </w:p>
    <w:p w14:paraId="540B833A">
      <w:pPr>
        <w:keepNext w:val="0"/>
        <w:keepLines w:val="0"/>
        <w:pageBreakBefore w:val="0"/>
        <w:widowControl w:val="0"/>
        <w:tabs>
          <w:tab w:val="left" w:pos="6720"/>
        </w:tab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Cs w:val="0"/>
          <w:color w:val="000000" w:themeColor="text1"/>
          <w:kern w:val="2"/>
          <w:sz w:val="32"/>
          <w:szCs w:val="32"/>
          <w:highlight w:val="none"/>
          <w:u w:val="none"/>
          <w:lang w:val="en-US" w:eastAsia="zh-CN" w:bidi="ar-SA"/>
          <w14:textFill>
            <w14:solidFill>
              <w14:schemeClr w14:val="tx1"/>
            </w14:solidFill>
          </w14:textFill>
        </w:rPr>
        <w:t>临床、公卫、影像、中医等关键专业人才持续紧缺，人员年龄结构老化，招聘难、留人难问题长期存在，直接影响基层服务稳定供给和网底功能发挥。医养结合、疾控、妇幼等重点领域高层次学科带头人匮乏，复合型管理人才短缺，青年骨干储备不足。现有队伍专业能力与新时期工作要求及群众多层次健康需求存在差距。人才问题已成为制约服务体系效能提升的关键瓶颈。</w:t>
      </w:r>
    </w:p>
    <w:p w14:paraId="3FF8793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default" w:ascii="黑体" w:hAnsi="黑体" w:eastAsia="黑体" w:cs="黑体"/>
          <w:color w:val="000000" w:themeColor="text1"/>
          <w:sz w:val="32"/>
          <w:szCs w:val="32"/>
          <w:highlight w:val="none"/>
          <w:lang w:val="en-US" w:eastAsia="zh-CN"/>
          <w14:textFill>
            <w14:solidFill>
              <w14:schemeClr w14:val="tx1"/>
            </w14:solidFill>
          </w14:textFill>
        </w:rPr>
        <w:t>、公共卫生安全仍面临多重威胁</w:t>
      </w:r>
    </w:p>
    <w:p w14:paraId="00DCB04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公共卫生体系不够健全，专业力量不足，联防联控和医防融合机制不顺畅，应急物资储备种类和数量不足，重大灾害性事件处置救治能力欠缺。公共卫生科普力度不够，群众对疫苗和传染病认知不足，重点人群健康监测、随访服务落实不到位，群防群控合力尚未完全形成。</w:t>
      </w:r>
    </w:p>
    <w:p w14:paraId="34169A7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六</w:t>
      </w:r>
      <w:r>
        <w:rPr>
          <w:rFonts w:hint="default" w:ascii="黑体" w:hAnsi="黑体" w:eastAsia="黑体" w:cs="黑体"/>
          <w:color w:val="000000" w:themeColor="text1"/>
          <w:sz w:val="32"/>
          <w:szCs w:val="32"/>
          <w:highlight w:val="none"/>
          <w:lang w:val="en-US" w:eastAsia="zh-CN"/>
          <w14:textFill>
            <w14:solidFill>
              <w14:schemeClr w14:val="tx1"/>
            </w14:solidFill>
          </w14:textFill>
        </w:rPr>
        <w:t>、“一老一小”服务供给仍显不足</w:t>
      </w:r>
    </w:p>
    <w:p w14:paraId="277C83B2">
      <w:pPr>
        <w:keepNext w:val="0"/>
        <w:keepLines w:val="0"/>
        <w:pageBreakBefore w:val="0"/>
        <w:widowControl w:val="0"/>
        <w:tabs>
          <w:tab w:val="left" w:pos="6720"/>
        </w:tabs>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Cs w:val="0"/>
          <w:color w:val="000000" w:themeColor="text1"/>
          <w:kern w:val="2"/>
          <w:sz w:val="32"/>
          <w:szCs w:val="32"/>
          <w:highlight w:val="none"/>
          <w:u w:val="none"/>
          <w:lang w:val="en-US" w:eastAsia="zh-CN" w:bidi="ar-SA"/>
          <w14:textFill>
            <w14:solidFill>
              <w14:schemeClr w14:val="tx1"/>
            </w14:solidFill>
          </w14:textFill>
        </w:rPr>
        <w:t>普惠托育支持政策尚未完全落地，托育机构运营压力大、收费偏高，与居民可负担预期存在差距。托位使用率低，用人单位办托、社区嵌入式托育等模式仍处起步阶段。生育支持政策力度不足，育儿补贴、产假等措施有提升空间。老年健康服务体系不够完善，服务碎片化问题突出，从健康宣传到安宁疗护的全链条服务尚未健全，专业人才队伍建设亟待加强，社区与机构、医疗与养老资源衔接存在壁垒。</w:t>
      </w:r>
    </w:p>
    <w:p w14:paraId="0AB3DA5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七</w:t>
      </w:r>
      <w:r>
        <w:rPr>
          <w:rFonts w:hint="default" w:ascii="黑体" w:hAnsi="黑体" w:eastAsia="黑体" w:cs="黑体"/>
          <w:color w:val="000000" w:themeColor="text1"/>
          <w:sz w:val="32"/>
          <w:szCs w:val="32"/>
          <w:highlight w:val="none"/>
          <w:lang w:val="en-US" w:eastAsia="zh-CN"/>
          <w14:textFill>
            <w14:solidFill>
              <w14:schemeClr w14:val="tx1"/>
            </w14:solidFill>
          </w14:textFill>
        </w:rPr>
        <w:t>、法治与行业治理能力有待加强</w:t>
      </w:r>
    </w:p>
    <w:p w14:paraId="2323BE2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监管协同机制尚不健全，事中事后监管的精准度与实效性仍需提高。行业信用体系与智慧监管手段处于初步探索阶段，医疗机构依法执业意识和规范管理水平有待增强。面对互联网诊疗等新业态，监管流程和实操规范需加快完善。“放管服”改革深度和广度仍需拓展，营商环境优化举措的实际成效有待提升。</w:t>
      </w:r>
    </w:p>
    <w:p w14:paraId="5DF1113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br w:type="page"/>
      </w:r>
    </w:p>
    <w:p w14:paraId="27B13509">
      <w:pPr>
        <w:pStyle w:val="2"/>
        <w:overflowPunct w:val="0"/>
        <w:spacing w:before="313" w:beforeLines="100" w:after="313" w:afterLines="100" w:line="560" w:lineRule="exact"/>
        <w:ind w:firstLine="0" w:firstLineChars="0"/>
        <w:jc w:val="center"/>
        <w:rPr>
          <w:rFonts w:hint="default" w:ascii="Times New Roman" w:hAnsi="Times New Roman" w:cs="Times New Roman"/>
          <w:color w:val="000000" w:themeColor="text1"/>
          <w:sz w:val="32"/>
          <w:szCs w:val="32"/>
          <w:highlight w:val="none"/>
          <w:lang w:val="zh-CN"/>
          <w14:textFill>
            <w14:solidFill>
              <w14:schemeClr w14:val="tx1"/>
            </w14:solidFill>
          </w14:textFill>
        </w:rPr>
      </w:pPr>
      <w:r>
        <w:rPr>
          <w:rFonts w:hint="default" w:ascii="Times New Roman" w:hAnsi="Times New Roman" w:cs="Times New Roman"/>
          <w:color w:val="000000" w:themeColor="text1"/>
          <w:sz w:val="32"/>
          <w:szCs w:val="32"/>
          <w:highlight w:val="none"/>
          <w:lang w:val="zh-CN"/>
          <w14:textFill>
            <w14:solidFill>
              <w14:schemeClr w14:val="tx1"/>
            </w14:solidFill>
          </w14:textFill>
        </w:rPr>
        <w:t>第三章规划基本思路</w:t>
      </w:r>
      <w:bookmarkEnd w:id="0"/>
      <w:bookmarkEnd w:id="1"/>
      <w:bookmarkEnd w:id="2"/>
    </w:p>
    <w:p w14:paraId="2D991F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t>一、指导思想</w:t>
      </w:r>
    </w:p>
    <w:p w14:paraId="5849203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十五五”时期，克拉玛依区卫生健康事业的发展，必须坚持以习近平新时代中国特色社会主义思想为指导，全面贯彻党的二十大和二十届二中、三中全会精神，深入落实习近平总书记关于健康中国建设的重要论述及新时代党的治疆方略，牢牢扭住社会稳定和长治久安总目标。按照市委“13421”总体发展思路，立足新发展阶段，贯彻新发展理念，融入新发展格局，紧紧围绕高质量发展首要任务，坚持以人民健康为中心，以构建强大稳固的社区卫生服务网络为核心，以数字化转型为驱动，以体制机制改革为动力。</w:t>
      </w:r>
    </w:p>
    <w:p w14:paraId="3D07964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定不移贯彻新时代党的卫生健康工作方针，全面推进健康克拉玛依区建设。紧密对接《医疗卫生强基工程实施方案》，落实《“健康中国2030”规划纲要》，将健康优先发展战略摆在突出位置，系统构建以社区卫生服务机构为网底、医院为支撑的强大公共卫生和整合型医疗卫生服务体系，为克拉玛依区打造全疆卫生健康典范区、实现社会稳定和长治久安奠定坚实健康根基。</w:t>
      </w:r>
    </w:p>
    <w:p w14:paraId="4E53614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t>二、基本原则</w:t>
      </w:r>
    </w:p>
    <w:p w14:paraId="7A2A0DC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（一）坚持健康优先，预防为主。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将保障人民健康放在优先发展的战略位置，推动健康理念融入公共政策制定全过程。持续加大公共卫生投入，健全疾病预防控制体系，提升早期发现和快速处置能力。深入开展爱国卫生运动，巩固慢性病防控成果，筑牢公共卫生安全屏障。</w:t>
      </w:r>
    </w:p>
    <w:p w14:paraId="4CF9D47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（二）坚持公平可及，保障基本。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守基本医疗卫生事业的公益属性，强化政府投入责任，完善财政补偿机制。科学布局医疗资源，重点加强薄弱区域社区卫生服务机构建设，推动优质资源向基层延伸。鼓励社会力量参与薄弱领域服务供给，满足群众多元化健康需求，促进健康公平。</w:t>
      </w:r>
    </w:p>
    <w:p w14:paraId="0989FC2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（三）坚持优质整合，协同连续。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构建整合型医疗卫生服务体系为目标，持续优化区内资源配置，深入推进紧密型城市医疗集团建设。健全分级诊疗制度，畅通双向转诊渠道。推动服务模式创新，加强全科与专科协同，实现预防、诊疗、康复与健康管理有效衔接。重点加强“一老一小”健康服务，推进医养结合、医育结合等连续服务模式。</w:t>
      </w:r>
    </w:p>
    <w:p w14:paraId="5963BAF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（四）坚持改革创新，数字赋能。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改革创新为根本动力，深化医药卫生体制改革，深化医药卫生体制改革，在人事薪酬、药品保障、医保支付等关键环节取得突破。完善绩效工资分配机制，调动医务人员积极性。加快“互联网+医疗健康”发展，推动信息系统互联互通，推广远程医疗、在线复诊等新型服务模式，以数字化转型重塑服务流程，提升服务效能。</w:t>
      </w:r>
    </w:p>
    <w:p w14:paraId="4F5DC5D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default" w:ascii="黑体" w:hAnsi="黑体" w:eastAsia="黑体" w:cs="黑体"/>
          <w:color w:val="000000" w:themeColor="text1"/>
          <w:sz w:val="32"/>
          <w:szCs w:val="32"/>
          <w:highlight w:val="none"/>
          <w:lang w:val="en-US" w:eastAsia="zh-CN"/>
          <w14:textFill>
            <w14:solidFill>
              <w14:schemeClr w14:val="tx1"/>
            </w14:solidFill>
          </w14:textFill>
        </w:rPr>
        <w:t>三、发展目标</w:t>
      </w:r>
    </w:p>
    <w:p w14:paraId="2F3EF64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到2030年（“十五五”期末），克拉玛依区全面建成与区域经济社会发展水平相适应的现代化卫生健康服务体系，成为全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健康城区典范。居民健康水平持续提升，主要健康指标达到国内先进水平；整合型医疗卫生服务体系成熟运行，分级诊疗制度全面落地，“15分钟医疗服务圈”持续完善；中西医协同发展优势充分彰显；公共卫生安全屏障牢固可靠；基层服务网底更加巩固；重点人群健康服务供给更加充分；健康融入所有政策的治理格局全面形成。</w:t>
      </w:r>
    </w:p>
    <w:p w14:paraId="7AB1B40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居民健康水平实现新跨越。居民健康素养水平稳步提升，人均预期寿命在“十四五”较高基础上持续增长。重大慢性病过早死亡率进一步下降，重点慢性病防治体系更加健全。青少年肥胖、中小学生视力不良等健康危险因素得到有效遏制。</w:t>
      </w:r>
    </w:p>
    <w:p w14:paraId="6DE63B6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整合型服务体系高效运行。分级诊疗制度全面落实，形成基层首诊、双向转诊、急慢分治、上下联动的有序就医格局。紧密型城市医疗集团建设取得实质性进展，区域内就诊率稳定在80%以上。“15分钟医疗服务圈”实现所有街道社区全覆盖，基层医疗卫生机构服务能力持续提升。——公共卫生安全屏障牢固可靠。三级公共卫生治理体系更加健全，疾病预防控制、监测预警、物资保障体系更加完善，应急处置能力全面增强。艾滋病、结核病等重大传染病持续保持在低流行水平。</w:t>
      </w:r>
    </w:p>
    <w:p w14:paraId="06D5495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——中医药服务特色优势充分彰显。三级中医药服务体系健全运行，社区卫生服务站中医服务实现全覆盖，中医药服务的覆盖面、可及性与服务能力显著增强，群众认可度与满意度持续提高。</w:t>
      </w:r>
    </w:p>
    <w:p w14:paraId="24783F4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重点人群服务保障全面加强。老年健康服务体系持续完善，医养结合实现关键突破。65岁及以上老年人城乡社区规范健康管理服务率持续提升。妇幼健康服务能力稳步增强，孕产妇死亡率、婴儿死亡率等核心指标持续保持在低水平。千人口3岁以下婴幼儿托位数保持在合理水平，普惠托育供给占比稳步提升。</w:t>
      </w:r>
    </w:p>
    <w:p w14:paraId="47796A2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——数字健康赋能成效显著。“互联网+医疗健康”服务广泛应用，电子健康档案动态使用率持续提升。远程医疗服务覆盖所有基层医疗卫生机构，居民就医便捷度明显增强。</w:t>
      </w:r>
    </w:p>
    <w:p w14:paraId="51875F8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健康融入所有政策格局初步形成。持续巩固国家卫生城市创建成果，积极推进全国健康城镇建设。打造具有影响力的健康科普品牌，人民群众健康获得感、幸福感、安全感切实增强，共建共享的健康格局基本形成。</w:t>
      </w:r>
    </w:p>
    <w:p w14:paraId="11E12F51">
      <w:pPr>
        <w:overflowPunct w:val="0"/>
        <w:spacing w:before="313" w:beforeLines="100" w:after="157" w:afterLines="50" w:line="560" w:lineRule="exact"/>
        <w:jc w:val="center"/>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克拉玛依区“十</w:t>
      </w:r>
      <w: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五”主要发展指标</w:t>
      </w:r>
    </w:p>
    <w:tbl>
      <w:tblPr>
        <w:tblStyle w:val="14"/>
        <w:tblW w:w="48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28" w:type="dxa"/>
          <w:bottom w:w="0" w:type="dxa"/>
          <w:right w:w="28" w:type="dxa"/>
        </w:tblCellMar>
      </w:tblPr>
      <w:tblGrid>
        <w:gridCol w:w="1435"/>
        <w:gridCol w:w="1856"/>
        <w:gridCol w:w="936"/>
        <w:gridCol w:w="1136"/>
        <w:gridCol w:w="1057"/>
        <w:gridCol w:w="995"/>
        <w:gridCol w:w="1285"/>
      </w:tblGrid>
      <w:tr w14:paraId="2D52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tblHeader/>
          <w:jc w:val="center"/>
        </w:trPr>
        <w:tc>
          <w:tcPr>
            <w:tcW w:w="824" w:type="pct"/>
            <w:shd w:val="clear" w:color="auto" w:fill="FFFFFF"/>
            <w:noWrap w:val="0"/>
            <w:tcMar>
              <w:top w:w="0" w:type="dxa"/>
              <w:left w:w="108" w:type="dxa"/>
              <w:bottom w:w="0" w:type="dxa"/>
              <w:right w:w="108" w:type="dxa"/>
            </w:tcMar>
            <w:vAlign w:val="center"/>
          </w:tcPr>
          <w:p w14:paraId="3AAD4DE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t>领域</w:t>
            </w:r>
          </w:p>
        </w:tc>
        <w:tc>
          <w:tcPr>
            <w:tcW w:w="1066" w:type="pct"/>
            <w:shd w:val="clear" w:color="auto" w:fill="FFFFFF"/>
            <w:noWrap w:val="0"/>
            <w:tcMar>
              <w:top w:w="0" w:type="dxa"/>
              <w:left w:w="108" w:type="dxa"/>
              <w:bottom w:w="0" w:type="dxa"/>
              <w:right w:w="108" w:type="dxa"/>
            </w:tcMar>
            <w:vAlign w:val="center"/>
          </w:tcPr>
          <w:p w14:paraId="5955F9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t>主要指标</w:t>
            </w:r>
          </w:p>
        </w:tc>
        <w:tc>
          <w:tcPr>
            <w:tcW w:w="537" w:type="pct"/>
            <w:shd w:val="clear" w:color="auto" w:fill="FFFFFF"/>
            <w:noWrap w:val="0"/>
            <w:tcMar>
              <w:top w:w="0" w:type="dxa"/>
              <w:left w:w="108" w:type="dxa"/>
              <w:bottom w:w="0" w:type="dxa"/>
              <w:right w:w="108" w:type="dxa"/>
            </w:tcMar>
            <w:vAlign w:val="center"/>
          </w:tcPr>
          <w:p w14:paraId="38284FD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t>单位</w:t>
            </w:r>
          </w:p>
        </w:tc>
        <w:tc>
          <w:tcPr>
            <w:tcW w:w="652" w:type="pct"/>
            <w:shd w:val="clear" w:color="auto" w:fill="FFFFFF"/>
            <w:noWrap w:val="0"/>
            <w:tcMar>
              <w:top w:w="0" w:type="dxa"/>
              <w:left w:w="108" w:type="dxa"/>
              <w:bottom w:w="0" w:type="dxa"/>
              <w:right w:w="108" w:type="dxa"/>
            </w:tcMar>
            <w:vAlign w:val="center"/>
          </w:tcPr>
          <w:p w14:paraId="019FACF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t>2025年</w:t>
            </w:r>
          </w:p>
        </w:tc>
        <w:tc>
          <w:tcPr>
            <w:tcW w:w="607" w:type="pct"/>
            <w:shd w:val="clear" w:color="auto" w:fill="FFFFFF"/>
            <w:noWrap w:val="0"/>
            <w:tcMar>
              <w:top w:w="0" w:type="dxa"/>
              <w:left w:w="108" w:type="dxa"/>
              <w:bottom w:w="0" w:type="dxa"/>
              <w:right w:w="108" w:type="dxa"/>
            </w:tcMar>
            <w:vAlign w:val="center"/>
          </w:tcPr>
          <w:p w14:paraId="45652F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t>指标</w:t>
            </w:r>
          </w:p>
          <w:p w14:paraId="6EACF4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highlight w:val="none"/>
                <w14:textFill>
                  <w14:solidFill>
                    <w14:schemeClr w14:val="tx1"/>
                  </w14:solidFill>
                </w14:textFill>
              </w:rPr>
              <w:t>性质</w:t>
            </w:r>
          </w:p>
        </w:tc>
        <w:tc>
          <w:tcPr>
            <w:tcW w:w="571" w:type="pct"/>
            <w:shd w:val="clear" w:color="auto" w:fill="FFFFFF"/>
            <w:noWrap w:val="0"/>
            <w:tcMar>
              <w:top w:w="0" w:type="dxa"/>
              <w:left w:w="108" w:type="dxa"/>
              <w:bottom w:w="0" w:type="dxa"/>
              <w:right w:w="108" w:type="dxa"/>
            </w:tcMar>
            <w:vAlign w:val="center"/>
          </w:tcPr>
          <w:p w14:paraId="5AA545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cs="Times New Roman"/>
                <w:b w:val="0"/>
                <w:bCs w:val="0"/>
                <w:color w:val="000000" w:themeColor="text1"/>
                <w:kern w:val="0"/>
                <w:sz w:val="24"/>
                <w:szCs w:val="24"/>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highlight w:val="none"/>
                <w:lang w:eastAsia="zh-CN"/>
                <w14:textFill>
                  <w14:solidFill>
                    <w14:schemeClr w14:val="tx1"/>
                  </w14:solidFill>
                </w14:textFill>
              </w:rPr>
              <w:t>预计</w:t>
            </w:r>
          </w:p>
          <w:p w14:paraId="4F69D6B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cs="Times New Roman"/>
                <w:b w:val="0"/>
                <w:bCs w:val="0"/>
                <w:color w:val="000000" w:themeColor="text1"/>
                <w:kern w:val="0"/>
                <w:sz w:val="24"/>
                <w:szCs w:val="24"/>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highlight w:val="none"/>
                <w:lang w:eastAsia="zh-CN"/>
                <w14:textFill>
                  <w14:solidFill>
                    <w14:schemeClr w14:val="tx1"/>
                  </w14:solidFill>
                </w14:textFill>
              </w:rPr>
              <w:t>进度</w:t>
            </w:r>
          </w:p>
        </w:tc>
        <w:tc>
          <w:tcPr>
            <w:tcW w:w="738" w:type="pct"/>
            <w:shd w:val="clear" w:color="auto" w:fill="FFFFFF"/>
            <w:noWrap w:val="0"/>
            <w:tcMar>
              <w:top w:w="0" w:type="dxa"/>
              <w:left w:w="108" w:type="dxa"/>
              <w:bottom w:w="0" w:type="dxa"/>
              <w:right w:w="108" w:type="dxa"/>
            </w:tcMar>
            <w:vAlign w:val="center"/>
          </w:tcPr>
          <w:p w14:paraId="639074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cs="Times New Roman"/>
                <w:b w:val="0"/>
                <w:bCs w:val="0"/>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4"/>
                <w:highlight w:val="none"/>
                <w:lang w:val="en-US" w:eastAsia="zh-CN"/>
                <w14:textFill>
                  <w14:solidFill>
                    <w14:schemeClr w14:val="tx1"/>
                  </w14:solidFill>
                </w14:textFill>
              </w:rPr>
              <w:t>2030年</w:t>
            </w:r>
          </w:p>
        </w:tc>
      </w:tr>
      <w:tr w14:paraId="4108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413" w:hRule="atLeast"/>
          <w:jc w:val="center"/>
        </w:trPr>
        <w:tc>
          <w:tcPr>
            <w:tcW w:w="824" w:type="pct"/>
            <w:vMerge w:val="restart"/>
            <w:shd w:val="clear" w:color="auto" w:fill="FFFFFF"/>
            <w:noWrap w:val="0"/>
            <w:tcMar>
              <w:top w:w="0" w:type="dxa"/>
              <w:left w:w="108" w:type="dxa"/>
              <w:bottom w:w="0" w:type="dxa"/>
              <w:right w:w="108" w:type="dxa"/>
            </w:tcMar>
            <w:vAlign w:val="center"/>
          </w:tcPr>
          <w:p w14:paraId="428D2F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健康水平</w:t>
            </w:r>
          </w:p>
        </w:tc>
        <w:tc>
          <w:tcPr>
            <w:tcW w:w="1066" w:type="pct"/>
            <w:shd w:val="clear" w:color="auto" w:fill="FFFFFF"/>
            <w:noWrap w:val="0"/>
            <w:tcMar>
              <w:top w:w="0" w:type="dxa"/>
              <w:left w:w="108" w:type="dxa"/>
              <w:bottom w:w="0" w:type="dxa"/>
              <w:right w:w="108" w:type="dxa"/>
            </w:tcMar>
            <w:vAlign w:val="center"/>
          </w:tcPr>
          <w:p w14:paraId="437E88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t>人均期望寿命</w:t>
            </w:r>
          </w:p>
        </w:tc>
        <w:tc>
          <w:tcPr>
            <w:tcW w:w="537" w:type="pct"/>
            <w:shd w:val="clear" w:color="auto" w:fill="FFFFFF"/>
            <w:noWrap w:val="0"/>
            <w:tcMar>
              <w:top w:w="0" w:type="dxa"/>
              <w:left w:w="108" w:type="dxa"/>
              <w:bottom w:w="0" w:type="dxa"/>
              <w:right w:w="108" w:type="dxa"/>
            </w:tcMar>
            <w:vAlign w:val="center"/>
          </w:tcPr>
          <w:p w14:paraId="35870D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岁</w:t>
            </w:r>
          </w:p>
        </w:tc>
        <w:tc>
          <w:tcPr>
            <w:tcW w:w="652" w:type="pct"/>
            <w:shd w:val="clear" w:color="auto" w:fill="FFFFFF"/>
            <w:noWrap w:val="0"/>
            <w:tcMar>
              <w:top w:w="0" w:type="dxa"/>
              <w:left w:w="108" w:type="dxa"/>
              <w:bottom w:w="0" w:type="dxa"/>
              <w:right w:w="108" w:type="dxa"/>
            </w:tcMar>
            <w:vAlign w:val="center"/>
          </w:tcPr>
          <w:p w14:paraId="32ACFA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83.63</w:t>
            </w:r>
          </w:p>
        </w:tc>
        <w:tc>
          <w:tcPr>
            <w:tcW w:w="607" w:type="pct"/>
            <w:shd w:val="clear" w:color="auto" w:fill="FFFFFF"/>
            <w:noWrap w:val="0"/>
            <w:tcMar>
              <w:top w:w="0" w:type="dxa"/>
              <w:left w:w="108" w:type="dxa"/>
              <w:bottom w:w="0" w:type="dxa"/>
              <w:right w:w="108" w:type="dxa"/>
            </w:tcMar>
            <w:vAlign w:val="center"/>
          </w:tcPr>
          <w:p w14:paraId="346900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FFFFFF"/>
            <w:noWrap w:val="0"/>
            <w:tcMar>
              <w:top w:w="0" w:type="dxa"/>
              <w:left w:w="108" w:type="dxa"/>
              <w:bottom w:w="0" w:type="dxa"/>
              <w:right w:w="108" w:type="dxa"/>
            </w:tcMar>
            <w:vAlign w:val="center"/>
          </w:tcPr>
          <w:p w14:paraId="6AE6E6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可</w:t>
            </w: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完成</w:t>
            </w:r>
          </w:p>
        </w:tc>
        <w:tc>
          <w:tcPr>
            <w:tcW w:w="738" w:type="pct"/>
            <w:shd w:val="clear" w:color="auto" w:fill="FFFFFF"/>
            <w:noWrap w:val="0"/>
            <w:tcMar>
              <w:top w:w="0" w:type="dxa"/>
              <w:left w:w="108" w:type="dxa"/>
              <w:bottom w:w="0" w:type="dxa"/>
              <w:right w:w="108" w:type="dxa"/>
            </w:tcMar>
            <w:vAlign w:val="center"/>
          </w:tcPr>
          <w:p w14:paraId="301CD5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82</w:t>
            </w:r>
          </w:p>
        </w:tc>
      </w:tr>
      <w:tr w14:paraId="419A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474" w:hRule="atLeast"/>
          <w:jc w:val="center"/>
        </w:trPr>
        <w:tc>
          <w:tcPr>
            <w:tcW w:w="824" w:type="pct"/>
            <w:vMerge w:val="continue"/>
            <w:shd w:val="clear" w:color="auto" w:fill="FFFFFF"/>
            <w:noWrap w:val="0"/>
            <w:tcMar>
              <w:top w:w="0" w:type="dxa"/>
              <w:left w:w="108" w:type="dxa"/>
              <w:bottom w:w="0" w:type="dxa"/>
              <w:right w:w="108" w:type="dxa"/>
            </w:tcMar>
            <w:vAlign w:val="center"/>
          </w:tcPr>
          <w:p w14:paraId="133353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0B7759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t>孕产妇死亡率</w:t>
            </w:r>
          </w:p>
        </w:tc>
        <w:tc>
          <w:tcPr>
            <w:tcW w:w="537" w:type="pct"/>
            <w:shd w:val="clear" w:color="auto" w:fill="FFFFFF"/>
            <w:noWrap w:val="0"/>
            <w:tcMar>
              <w:top w:w="0" w:type="dxa"/>
              <w:left w:w="108" w:type="dxa"/>
              <w:bottom w:w="0" w:type="dxa"/>
              <w:right w:w="108" w:type="dxa"/>
            </w:tcMar>
            <w:vAlign w:val="center"/>
          </w:tcPr>
          <w:p w14:paraId="7CE0AB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/10万</w:t>
            </w:r>
          </w:p>
        </w:tc>
        <w:tc>
          <w:tcPr>
            <w:tcW w:w="652" w:type="pct"/>
            <w:shd w:val="clear" w:color="auto" w:fill="FFFFFF"/>
            <w:noWrap w:val="0"/>
            <w:tcMar>
              <w:top w:w="0" w:type="dxa"/>
              <w:left w:w="108" w:type="dxa"/>
              <w:bottom w:w="0" w:type="dxa"/>
              <w:right w:w="108" w:type="dxa"/>
            </w:tcMar>
            <w:vAlign w:val="center"/>
          </w:tcPr>
          <w:p w14:paraId="2E96F2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0</w:t>
            </w:r>
          </w:p>
        </w:tc>
        <w:tc>
          <w:tcPr>
            <w:tcW w:w="607" w:type="pct"/>
            <w:shd w:val="clear" w:color="auto" w:fill="FFFFFF"/>
            <w:noWrap w:val="0"/>
            <w:tcMar>
              <w:top w:w="0" w:type="dxa"/>
              <w:left w:w="108" w:type="dxa"/>
              <w:bottom w:w="0" w:type="dxa"/>
              <w:right w:w="108" w:type="dxa"/>
            </w:tcMar>
            <w:vAlign w:val="center"/>
          </w:tcPr>
          <w:p w14:paraId="7BF61E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FFFFFF"/>
            <w:noWrap w:val="0"/>
            <w:tcMar>
              <w:top w:w="0" w:type="dxa"/>
              <w:left w:w="108" w:type="dxa"/>
              <w:bottom w:w="0" w:type="dxa"/>
              <w:right w:w="108" w:type="dxa"/>
            </w:tcMar>
            <w:vAlign w:val="center"/>
          </w:tcPr>
          <w:p w14:paraId="6E21670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可</w:t>
            </w: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完成</w:t>
            </w:r>
          </w:p>
        </w:tc>
        <w:tc>
          <w:tcPr>
            <w:tcW w:w="738" w:type="pct"/>
            <w:shd w:val="clear" w:color="auto" w:fill="FFFFFF"/>
            <w:noWrap w:val="0"/>
            <w:tcMar>
              <w:top w:w="0" w:type="dxa"/>
              <w:left w:w="108" w:type="dxa"/>
              <w:bottom w:w="0" w:type="dxa"/>
              <w:right w:w="108" w:type="dxa"/>
            </w:tcMar>
            <w:vAlign w:val="center"/>
          </w:tcPr>
          <w:p w14:paraId="2CF7D1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12</w:t>
            </w:r>
          </w:p>
        </w:tc>
      </w:tr>
      <w:tr w14:paraId="1EDB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514" w:hRule="atLeast"/>
          <w:jc w:val="center"/>
        </w:trPr>
        <w:tc>
          <w:tcPr>
            <w:tcW w:w="824" w:type="pct"/>
            <w:vMerge w:val="continue"/>
            <w:shd w:val="clear" w:color="auto" w:fill="FFFFFF"/>
            <w:noWrap w:val="0"/>
            <w:vAlign w:val="center"/>
          </w:tcPr>
          <w:p w14:paraId="442804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4B963C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t>婴儿死亡率</w:t>
            </w:r>
          </w:p>
        </w:tc>
        <w:tc>
          <w:tcPr>
            <w:tcW w:w="537" w:type="pct"/>
            <w:shd w:val="clear" w:color="auto" w:fill="FFFFFF"/>
            <w:noWrap w:val="0"/>
            <w:tcMar>
              <w:top w:w="0" w:type="dxa"/>
              <w:left w:w="108" w:type="dxa"/>
              <w:bottom w:w="0" w:type="dxa"/>
              <w:right w:w="108" w:type="dxa"/>
            </w:tcMar>
            <w:vAlign w:val="center"/>
          </w:tcPr>
          <w:p w14:paraId="0DE09F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w:t>
            </w:r>
          </w:p>
        </w:tc>
        <w:tc>
          <w:tcPr>
            <w:tcW w:w="652" w:type="pct"/>
            <w:shd w:val="clear" w:color="auto" w:fill="FFFFFF"/>
            <w:noWrap w:val="0"/>
            <w:tcMar>
              <w:top w:w="0" w:type="dxa"/>
              <w:left w:w="108" w:type="dxa"/>
              <w:bottom w:w="0" w:type="dxa"/>
              <w:right w:w="108" w:type="dxa"/>
            </w:tcMar>
            <w:vAlign w:val="center"/>
          </w:tcPr>
          <w:p w14:paraId="423A7B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1.37</w:t>
            </w:r>
          </w:p>
        </w:tc>
        <w:tc>
          <w:tcPr>
            <w:tcW w:w="607" w:type="pct"/>
            <w:shd w:val="clear" w:color="auto" w:fill="FFFFFF"/>
            <w:noWrap w:val="0"/>
            <w:tcMar>
              <w:top w:w="0" w:type="dxa"/>
              <w:left w:w="108" w:type="dxa"/>
              <w:bottom w:w="0" w:type="dxa"/>
              <w:right w:w="108" w:type="dxa"/>
            </w:tcMar>
            <w:vAlign w:val="center"/>
          </w:tcPr>
          <w:p w14:paraId="4E49DD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FFFFFF"/>
            <w:noWrap w:val="0"/>
            <w:tcMar>
              <w:top w:w="0" w:type="dxa"/>
              <w:left w:w="108" w:type="dxa"/>
              <w:bottom w:w="0" w:type="dxa"/>
              <w:right w:w="108" w:type="dxa"/>
            </w:tcMar>
            <w:vAlign w:val="center"/>
          </w:tcPr>
          <w:p w14:paraId="2306A9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可</w:t>
            </w: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完成</w:t>
            </w:r>
          </w:p>
        </w:tc>
        <w:tc>
          <w:tcPr>
            <w:tcW w:w="738" w:type="pct"/>
            <w:shd w:val="clear" w:color="auto" w:fill="FFFFFF"/>
            <w:noWrap w:val="0"/>
            <w:tcMar>
              <w:top w:w="0" w:type="dxa"/>
              <w:left w:w="108" w:type="dxa"/>
              <w:bottom w:w="0" w:type="dxa"/>
              <w:right w:w="108" w:type="dxa"/>
            </w:tcMar>
            <w:vAlign w:val="center"/>
          </w:tcPr>
          <w:p w14:paraId="7B176AA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5</w:t>
            </w:r>
          </w:p>
        </w:tc>
      </w:tr>
      <w:tr w14:paraId="4646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continue"/>
            <w:shd w:val="clear" w:color="auto" w:fill="FFFFFF"/>
            <w:noWrap w:val="0"/>
            <w:vAlign w:val="center"/>
          </w:tcPr>
          <w:p w14:paraId="4AA567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237286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t>5岁以下儿童死亡率</w:t>
            </w:r>
          </w:p>
        </w:tc>
        <w:tc>
          <w:tcPr>
            <w:tcW w:w="537" w:type="pct"/>
            <w:shd w:val="clear" w:color="auto" w:fill="FFFFFF"/>
            <w:noWrap w:val="0"/>
            <w:tcMar>
              <w:top w:w="0" w:type="dxa"/>
              <w:left w:w="108" w:type="dxa"/>
              <w:bottom w:w="0" w:type="dxa"/>
              <w:right w:w="108" w:type="dxa"/>
            </w:tcMar>
            <w:vAlign w:val="center"/>
          </w:tcPr>
          <w:p w14:paraId="47275F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w:t>
            </w:r>
          </w:p>
        </w:tc>
        <w:tc>
          <w:tcPr>
            <w:tcW w:w="652" w:type="pct"/>
            <w:shd w:val="clear" w:color="auto" w:fill="FFFFFF"/>
            <w:noWrap w:val="0"/>
            <w:tcMar>
              <w:top w:w="0" w:type="dxa"/>
              <w:left w:w="108" w:type="dxa"/>
              <w:bottom w:w="0" w:type="dxa"/>
              <w:right w:w="108" w:type="dxa"/>
            </w:tcMar>
            <w:vAlign w:val="center"/>
          </w:tcPr>
          <w:p w14:paraId="131D75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2.74</w:t>
            </w:r>
          </w:p>
        </w:tc>
        <w:tc>
          <w:tcPr>
            <w:tcW w:w="607" w:type="pct"/>
            <w:shd w:val="clear" w:color="auto" w:fill="FFFFFF"/>
            <w:noWrap w:val="0"/>
            <w:tcMar>
              <w:top w:w="0" w:type="dxa"/>
              <w:left w:w="108" w:type="dxa"/>
              <w:bottom w:w="0" w:type="dxa"/>
              <w:right w:w="108" w:type="dxa"/>
            </w:tcMar>
            <w:vAlign w:val="center"/>
          </w:tcPr>
          <w:p w14:paraId="048C36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FFFFFF"/>
            <w:noWrap w:val="0"/>
            <w:tcMar>
              <w:top w:w="0" w:type="dxa"/>
              <w:left w:w="108" w:type="dxa"/>
              <w:bottom w:w="0" w:type="dxa"/>
              <w:right w:w="108" w:type="dxa"/>
            </w:tcMar>
            <w:vAlign w:val="center"/>
          </w:tcPr>
          <w:p w14:paraId="14B667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可</w:t>
            </w: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完成</w:t>
            </w:r>
          </w:p>
        </w:tc>
        <w:tc>
          <w:tcPr>
            <w:tcW w:w="738" w:type="pct"/>
            <w:shd w:val="clear" w:color="auto" w:fill="FFFFFF"/>
            <w:noWrap w:val="0"/>
            <w:tcMar>
              <w:top w:w="0" w:type="dxa"/>
              <w:left w:w="108" w:type="dxa"/>
              <w:bottom w:w="0" w:type="dxa"/>
              <w:right w:w="108" w:type="dxa"/>
            </w:tcMar>
            <w:vAlign w:val="center"/>
          </w:tcPr>
          <w:p w14:paraId="1C3900E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6</w:t>
            </w:r>
          </w:p>
        </w:tc>
      </w:tr>
      <w:tr w14:paraId="40BB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continue"/>
            <w:shd w:val="clear" w:color="auto" w:fill="FFFFFF"/>
            <w:noWrap w:val="0"/>
            <w:vAlign w:val="center"/>
          </w:tcPr>
          <w:p w14:paraId="754010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58E3429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重大慢性病过早死亡率</w:t>
            </w:r>
          </w:p>
        </w:tc>
        <w:tc>
          <w:tcPr>
            <w:tcW w:w="537" w:type="pct"/>
            <w:shd w:val="clear" w:color="auto" w:fill="FFFFFF"/>
            <w:noWrap w:val="0"/>
            <w:tcMar>
              <w:top w:w="0" w:type="dxa"/>
              <w:left w:w="108" w:type="dxa"/>
              <w:bottom w:w="0" w:type="dxa"/>
              <w:right w:w="108" w:type="dxa"/>
            </w:tcMar>
            <w:vAlign w:val="center"/>
          </w:tcPr>
          <w:p w14:paraId="1047E9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52" w:type="pct"/>
            <w:shd w:val="clear" w:color="auto" w:fill="FFFFFF"/>
            <w:noWrap w:val="0"/>
            <w:tcMar>
              <w:top w:w="0" w:type="dxa"/>
              <w:left w:w="108" w:type="dxa"/>
              <w:bottom w:w="0" w:type="dxa"/>
              <w:right w:w="108" w:type="dxa"/>
            </w:tcMar>
            <w:vAlign w:val="center"/>
          </w:tcPr>
          <w:p w14:paraId="7FC844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24"/>
                <w:szCs w:val="24"/>
                <w:highlight w:val="none"/>
                <w:lang w:val="en-US" w:eastAsia="zh-CN"/>
              </w:rPr>
              <w:t>10.50</w:t>
            </w:r>
          </w:p>
        </w:tc>
        <w:tc>
          <w:tcPr>
            <w:tcW w:w="607" w:type="pct"/>
            <w:shd w:val="clear" w:color="auto" w:fill="FFFFFF"/>
            <w:noWrap w:val="0"/>
            <w:tcMar>
              <w:top w:w="0" w:type="dxa"/>
              <w:left w:w="108" w:type="dxa"/>
              <w:bottom w:w="0" w:type="dxa"/>
              <w:right w:w="108" w:type="dxa"/>
            </w:tcMar>
            <w:vAlign w:val="center"/>
          </w:tcPr>
          <w:p w14:paraId="56E82C0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预期性</w:t>
            </w:r>
          </w:p>
        </w:tc>
        <w:tc>
          <w:tcPr>
            <w:tcW w:w="571" w:type="pct"/>
            <w:shd w:val="clear" w:color="auto" w:fill="FFFFFF"/>
            <w:noWrap w:val="0"/>
            <w:tcMar>
              <w:top w:w="0" w:type="dxa"/>
              <w:left w:w="108" w:type="dxa"/>
              <w:bottom w:w="0" w:type="dxa"/>
              <w:right w:w="108" w:type="dxa"/>
            </w:tcMar>
            <w:vAlign w:val="center"/>
          </w:tcPr>
          <w:p w14:paraId="1A29B4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rPr>
              <w:t>可完成</w:t>
            </w:r>
          </w:p>
        </w:tc>
        <w:tc>
          <w:tcPr>
            <w:tcW w:w="738" w:type="pct"/>
            <w:shd w:val="clear" w:color="auto" w:fill="FFFFFF"/>
            <w:noWrap w:val="0"/>
            <w:tcMar>
              <w:top w:w="0" w:type="dxa"/>
              <w:left w:w="108" w:type="dxa"/>
              <w:bottom w:w="0" w:type="dxa"/>
              <w:right w:w="108" w:type="dxa"/>
            </w:tcMar>
            <w:vAlign w:val="center"/>
          </w:tcPr>
          <w:p w14:paraId="7AE1327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10.50</w:t>
            </w:r>
          </w:p>
        </w:tc>
      </w:tr>
      <w:tr w14:paraId="5993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restart"/>
            <w:shd w:val="clear" w:color="auto" w:fill="FFFFFF"/>
            <w:noWrap w:val="0"/>
            <w:tcMar>
              <w:top w:w="0" w:type="dxa"/>
              <w:left w:w="108" w:type="dxa"/>
              <w:bottom w:w="0" w:type="dxa"/>
              <w:right w:w="108" w:type="dxa"/>
            </w:tcMar>
            <w:vAlign w:val="center"/>
          </w:tcPr>
          <w:p w14:paraId="571E0BE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健康生活</w:t>
            </w:r>
          </w:p>
        </w:tc>
        <w:tc>
          <w:tcPr>
            <w:tcW w:w="1066" w:type="pct"/>
            <w:shd w:val="clear" w:color="auto" w:fill="FFFFFF"/>
            <w:noWrap w:val="0"/>
            <w:tcMar>
              <w:top w:w="0" w:type="dxa"/>
              <w:left w:w="108" w:type="dxa"/>
              <w:bottom w:w="0" w:type="dxa"/>
              <w:right w:w="108" w:type="dxa"/>
            </w:tcMar>
            <w:vAlign w:val="center"/>
          </w:tcPr>
          <w:p w14:paraId="1C457A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auto"/>
                <w:spacing w:val="0"/>
                <w:kern w:val="0"/>
                <w:sz w:val="24"/>
                <w:szCs w:val="24"/>
                <w:highlight w:val="none"/>
              </w:rPr>
            </w:pPr>
            <w:r>
              <w:rPr>
                <w:rFonts w:hint="default" w:ascii="Times New Roman" w:hAnsi="Times New Roman" w:eastAsia="仿宋_GB2312" w:cs="Times New Roman"/>
                <w:color w:val="auto"/>
                <w:spacing w:val="0"/>
                <w:kern w:val="0"/>
                <w:sz w:val="24"/>
                <w:szCs w:val="24"/>
                <w:highlight w:val="none"/>
              </w:rPr>
              <w:t>居民健康素养水平</w:t>
            </w:r>
          </w:p>
        </w:tc>
        <w:tc>
          <w:tcPr>
            <w:tcW w:w="537" w:type="pct"/>
            <w:shd w:val="clear" w:color="auto" w:fill="FFFFFF"/>
            <w:noWrap w:val="0"/>
            <w:tcMar>
              <w:top w:w="0" w:type="dxa"/>
              <w:left w:w="108" w:type="dxa"/>
              <w:bottom w:w="0" w:type="dxa"/>
              <w:right w:w="108" w:type="dxa"/>
            </w:tcMar>
            <w:vAlign w:val="center"/>
          </w:tcPr>
          <w:p w14:paraId="7B3754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w:t>
            </w:r>
          </w:p>
        </w:tc>
        <w:tc>
          <w:tcPr>
            <w:tcW w:w="652" w:type="pct"/>
            <w:shd w:val="clear" w:color="auto" w:fill="FFFFFF"/>
            <w:noWrap w:val="0"/>
            <w:tcMar>
              <w:top w:w="0" w:type="dxa"/>
              <w:left w:w="108" w:type="dxa"/>
              <w:bottom w:w="0" w:type="dxa"/>
              <w:right w:w="108" w:type="dxa"/>
            </w:tcMar>
            <w:vAlign w:val="center"/>
          </w:tcPr>
          <w:p w14:paraId="380FC01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34.84</w:t>
            </w:r>
          </w:p>
        </w:tc>
        <w:tc>
          <w:tcPr>
            <w:tcW w:w="607" w:type="pct"/>
            <w:shd w:val="clear" w:color="auto" w:fill="FFFFFF"/>
            <w:noWrap w:val="0"/>
            <w:tcMar>
              <w:top w:w="0" w:type="dxa"/>
              <w:left w:w="108" w:type="dxa"/>
              <w:bottom w:w="0" w:type="dxa"/>
              <w:right w:w="108" w:type="dxa"/>
            </w:tcMar>
            <w:vAlign w:val="center"/>
          </w:tcPr>
          <w:p w14:paraId="2B10F0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预期性</w:t>
            </w:r>
          </w:p>
        </w:tc>
        <w:tc>
          <w:tcPr>
            <w:tcW w:w="571" w:type="pct"/>
            <w:shd w:val="clear" w:color="auto" w:fill="FFFFFF"/>
            <w:noWrap w:val="0"/>
            <w:tcMar>
              <w:top w:w="0" w:type="dxa"/>
              <w:left w:w="108" w:type="dxa"/>
              <w:bottom w:w="0" w:type="dxa"/>
              <w:right w:w="108" w:type="dxa"/>
            </w:tcMar>
            <w:vAlign w:val="center"/>
          </w:tcPr>
          <w:p w14:paraId="599AEC0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已完成</w:t>
            </w:r>
          </w:p>
        </w:tc>
        <w:tc>
          <w:tcPr>
            <w:tcW w:w="738" w:type="pct"/>
            <w:shd w:val="clear" w:color="auto" w:fill="FFFFFF"/>
            <w:noWrap w:val="0"/>
            <w:tcMar>
              <w:top w:w="0" w:type="dxa"/>
              <w:left w:w="108" w:type="dxa"/>
              <w:bottom w:w="0" w:type="dxa"/>
              <w:right w:w="108" w:type="dxa"/>
            </w:tcMar>
            <w:vAlign w:val="center"/>
          </w:tcPr>
          <w:p w14:paraId="03E716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≥38</w:t>
            </w:r>
          </w:p>
        </w:tc>
      </w:tr>
      <w:tr w14:paraId="490A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continue"/>
            <w:shd w:val="clear" w:color="auto" w:fill="FFFFFF"/>
            <w:noWrap w:val="0"/>
            <w:tcMar>
              <w:top w:w="0" w:type="dxa"/>
              <w:left w:w="108" w:type="dxa"/>
              <w:bottom w:w="0" w:type="dxa"/>
              <w:right w:w="108" w:type="dxa"/>
            </w:tcMar>
            <w:vAlign w:val="center"/>
          </w:tcPr>
          <w:p w14:paraId="54C9AC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6AD62A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t>15岁以上人群吸烟率</w:t>
            </w:r>
          </w:p>
        </w:tc>
        <w:tc>
          <w:tcPr>
            <w:tcW w:w="537" w:type="pct"/>
            <w:shd w:val="clear" w:color="auto" w:fill="FFFFFF"/>
            <w:noWrap w:val="0"/>
            <w:tcMar>
              <w:top w:w="0" w:type="dxa"/>
              <w:left w:w="108" w:type="dxa"/>
              <w:bottom w:w="0" w:type="dxa"/>
              <w:right w:w="108" w:type="dxa"/>
            </w:tcMar>
            <w:vAlign w:val="center"/>
          </w:tcPr>
          <w:p w14:paraId="2A1647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w:t>
            </w:r>
          </w:p>
        </w:tc>
        <w:tc>
          <w:tcPr>
            <w:tcW w:w="652" w:type="pct"/>
            <w:shd w:val="clear" w:color="auto" w:fill="FFFFFF"/>
            <w:noWrap w:val="0"/>
            <w:tcMar>
              <w:top w:w="0" w:type="dxa"/>
              <w:left w:w="108" w:type="dxa"/>
              <w:bottom w:w="0" w:type="dxa"/>
              <w:right w:w="108" w:type="dxa"/>
            </w:tcMar>
            <w:vAlign w:val="center"/>
          </w:tcPr>
          <w:p w14:paraId="1022359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＜21</w:t>
            </w:r>
          </w:p>
        </w:tc>
        <w:tc>
          <w:tcPr>
            <w:tcW w:w="607" w:type="pct"/>
            <w:shd w:val="clear" w:color="auto" w:fill="FFFFFF"/>
            <w:noWrap w:val="0"/>
            <w:tcMar>
              <w:top w:w="0" w:type="dxa"/>
              <w:left w:w="108" w:type="dxa"/>
              <w:bottom w:w="0" w:type="dxa"/>
              <w:right w:w="108" w:type="dxa"/>
            </w:tcMar>
            <w:vAlign w:val="center"/>
          </w:tcPr>
          <w:p w14:paraId="5C8A87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FFFFFF"/>
            <w:noWrap w:val="0"/>
            <w:tcMar>
              <w:top w:w="0" w:type="dxa"/>
              <w:left w:w="108" w:type="dxa"/>
              <w:bottom w:w="0" w:type="dxa"/>
              <w:right w:w="108" w:type="dxa"/>
            </w:tcMar>
            <w:vAlign w:val="center"/>
          </w:tcPr>
          <w:p w14:paraId="2302B9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已完成</w:t>
            </w:r>
          </w:p>
        </w:tc>
        <w:tc>
          <w:tcPr>
            <w:tcW w:w="738" w:type="pct"/>
            <w:shd w:val="clear" w:color="auto" w:fill="FFFFFF"/>
            <w:noWrap w:val="0"/>
            <w:tcMar>
              <w:top w:w="0" w:type="dxa"/>
              <w:left w:w="108" w:type="dxa"/>
              <w:bottom w:w="0" w:type="dxa"/>
              <w:right w:w="108" w:type="dxa"/>
            </w:tcMar>
            <w:vAlign w:val="center"/>
          </w:tcPr>
          <w:p w14:paraId="4B5CDF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＜2</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1</w:t>
            </w:r>
          </w:p>
        </w:tc>
      </w:tr>
      <w:tr w14:paraId="2723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restart"/>
            <w:shd w:val="clear" w:color="auto" w:fill="FFFFFF"/>
            <w:noWrap w:val="0"/>
            <w:tcMar>
              <w:top w:w="0" w:type="dxa"/>
              <w:left w:w="108" w:type="dxa"/>
              <w:bottom w:w="0" w:type="dxa"/>
              <w:right w:w="108" w:type="dxa"/>
            </w:tcMar>
            <w:vAlign w:val="center"/>
          </w:tcPr>
          <w:p w14:paraId="145939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资源配置</w:t>
            </w:r>
          </w:p>
        </w:tc>
        <w:tc>
          <w:tcPr>
            <w:tcW w:w="1066" w:type="pct"/>
            <w:shd w:val="clear" w:color="auto" w:fill="auto"/>
            <w:noWrap w:val="0"/>
            <w:tcMar>
              <w:top w:w="0" w:type="dxa"/>
              <w:left w:w="108" w:type="dxa"/>
              <w:bottom w:w="0" w:type="dxa"/>
              <w:right w:w="108" w:type="dxa"/>
            </w:tcMar>
            <w:vAlign w:val="center"/>
          </w:tcPr>
          <w:p w14:paraId="640FA82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6"/>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6"/>
                <w:kern w:val="0"/>
                <w:sz w:val="24"/>
                <w:szCs w:val="24"/>
                <w:highlight w:val="none"/>
                <w14:textFill>
                  <w14:solidFill>
                    <w14:schemeClr w14:val="tx1"/>
                  </w14:solidFill>
                </w14:textFill>
              </w:rPr>
              <w:t>每千人口医疗</w:t>
            </w:r>
            <w:r>
              <w:rPr>
                <w:rFonts w:hint="default" w:ascii="Times New Roman" w:hAnsi="Times New Roman" w:eastAsia="仿宋_GB2312" w:cs="Times New Roman"/>
                <w:color w:val="000000" w:themeColor="text1"/>
                <w:spacing w:val="-11"/>
                <w:kern w:val="0"/>
                <w:sz w:val="24"/>
                <w:szCs w:val="24"/>
                <w:highlight w:val="none"/>
                <w14:textFill>
                  <w14:solidFill>
                    <w14:schemeClr w14:val="tx1"/>
                  </w14:solidFill>
                </w14:textFill>
              </w:rPr>
              <w:t>卫生机构床位数</w:t>
            </w:r>
          </w:p>
        </w:tc>
        <w:tc>
          <w:tcPr>
            <w:tcW w:w="537" w:type="pct"/>
            <w:shd w:val="clear" w:color="auto" w:fill="auto"/>
            <w:noWrap w:val="0"/>
            <w:tcMar>
              <w:top w:w="0" w:type="dxa"/>
              <w:left w:w="108" w:type="dxa"/>
              <w:bottom w:w="0" w:type="dxa"/>
              <w:right w:w="108" w:type="dxa"/>
            </w:tcMar>
            <w:vAlign w:val="center"/>
          </w:tcPr>
          <w:p w14:paraId="2FBF239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张</w:t>
            </w:r>
          </w:p>
        </w:tc>
        <w:tc>
          <w:tcPr>
            <w:tcW w:w="652" w:type="pct"/>
            <w:shd w:val="clear" w:color="auto" w:fill="auto"/>
            <w:noWrap w:val="0"/>
            <w:tcMar>
              <w:top w:w="0" w:type="dxa"/>
              <w:left w:w="108" w:type="dxa"/>
              <w:bottom w:w="0" w:type="dxa"/>
              <w:right w:w="108" w:type="dxa"/>
            </w:tcMar>
            <w:vAlign w:val="center"/>
          </w:tcPr>
          <w:p w14:paraId="34C7E0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&gt;7</w:t>
            </w:r>
          </w:p>
        </w:tc>
        <w:tc>
          <w:tcPr>
            <w:tcW w:w="607" w:type="pct"/>
            <w:shd w:val="clear" w:color="auto" w:fill="auto"/>
            <w:noWrap w:val="0"/>
            <w:tcMar>
              <w:top w:w="0" w:type="dxa"/>
              <w:left w:w="108" w:type="dxa"/>
              <w:bottom w:w="0" w:type="dxa"/>
              <w:right w:w="108" w:type="dxa"/>
            </w:tcMar>
            <w:vAlign w:val="center"/>
          </w:tcPr>
          <w:p w14:paraId="3AA6DF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auto"/>
            <w:noWrap w:val="0"/>
            <w:tcMar>
              <w:top w:w="0" w:type="dxa"/>
              <w:left w:w="108" w:type="dxa"/>
              <w:bottom w:w="0" w:type="dxa"/>
              <w:right w:w="108" w:type="dxa"/>
            </w:tcMar>
            <w:vAlign w:val="center"/>
          </w:tcPr>
          <w:p w14:paraId="2FA6D12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未完成</w:t>
            </w:r>
          </w:p>
        </w:tc>
        <w:tc>
          <w:tcPr>
            <w:tcW w:w="738" w:type="pct"/>
            <w:shd w:val="clear" w:color="auto" w:fill="auto"/>
            <w:noWrap w:val="0"/>
            <w:tcMar>
              <w:top w:w="0" w:type="dxa"/>
              <w:left w:w="108" w:type="dxa"/>
              <w:bottom w:w="0" w:type="dxa"/>
              <w:right w:w="108" w:type="dxa"/>
            </w:tcMar>
            <w:vAlign w:val="center"/>
          </w:tcPr>
          <w:p w14:paraId="1B1BD6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&gt;7</w:t>
            </w:r>
          </w:p>
        </w:tc>
      </w:tr>
      <w:tr w14:paraId="7203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continue"/>
            <w:shd w:val="clear" w:color="auto" w:fill="FFFFFF"/>
            <w:noWrap w:val="0"/>
            <w:tcMar>
              <w:top w:w="0" w:type="dxa"/>
              <w:left w:w="108" w:type="dxa"/>
              <w:bottom w:w="0" w:type="dxa"/>
              <w:right w:w="108" w:type="dxa"/>
            </w:tcMar>
            <w:vAlign w:val="center"/>
          </w:tcPr>
          <w:p w14:paraId="3E2B72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47822E0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6"/>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6"/>
                <w:kern w:val="0"/>
                <w:sz w:val="24"/>
                <w:szCs w:val="24"/>
                <w:highlight w:val="none"/>
                <w14:textFill>
                  <w14:solidFill>
                    <w14:schemeClr w14:val="tx1"/>
                  </w14:solidFill>
                </w14:textFill>
              </w:rPr>
              <w:t>每千人口执业（助理）医师数</w:t>
            </w:r>
          </w:p>
        </w:tc>
        <w:tc>
          <w:tcPr>
            <w:tcW w:w="537" w:type="pct"/>
            <w:shd w:val="clear" w:color="auto" w:fill="FFFFFF"/>
            <w:noWrap w:val="0"/>
            <w:tcMar>
              <w:top w:w="0" w:type="dxa"/>
              <w:left w:w="108" w:type="dxa"/>
              <w:bottom w:w="0" w:type="dxa"/>
              <w:right w:w="108" w:type="dxa"/>
            </w:tcMar>
            <w:vAlign w:val="center"/>
          </w:tcPr>
          <w:p w14:paraId="650110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人</w:t>
            </w:r>
          </w:p>
        </w:tc>
        <w:tc>
          <w:tcPr>
            <w:tcW w:w="652" w:type="pct"/>
            <w:shd w:val="clear" w:color="auto" w:fill="FFFFFF"/>
            <w:noWrap w:val="0"/>
            <w:tcMar>
              <w:top w:w="0" w:type="dxa"/>
              <w:left w:w="108" w:type="dxa"/>
              <w:bottom w:w="0" w:type="dxa"/>
              <w:right w:w="108" w:type="dxa"/>
            </w:tcMar>
            <w:vAlign w:val="center"/>
          </w:tcPr>
          <w:p w14:paraId="3923F0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＞4.50</w:t>
            </w:r>
          </w:p>
        </w:tc>
        <w:tc>
          <w:tcPr>
            <w:tcW w:w="607" w:type="pct"/>
            <w:shd w:val="clear" w:color="auto" w:fill="FFFFFF"/>
            <w:noWrap w:val="0"/>
            <w:tcMar>
              <w:top w:w="0" w:type="dxa"/>
              <w:left w:w="108" w:type="dxa"/>
              <w:bottom w:w="0" w:type="dxa"/>
              <w:right w:w="108" w:type="dxa"/>
            </w:tcMar>
            <w:vAlign w:val="center"/>
          </w:tcPr>
          <w:p w14:paraId="471FEB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FFFFFF"/>
            <w:noWrap w:val="0"/>
            <w:tcMar>
              <w:top w:w="0" w:type="dxa"/>
              <w:left w:w="108" w:type="dxa"/>
              <w:bottom w:w="0" w:type="dxa"/>
              <w:right w:w="108" w:type="dxa"/>
            </w:tcMar>
            <w:vAlign w:val="center"/>
          </w:tcPr>
          <w:p w14:paraId="62D301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可完成</w:t>
            </w:r>
          </w:p>
        </w:tc>
        <w:tc>
          <w:tcPr>
            <w:tcW w:w="738" w:type="pct"/>
            <w:shd w:val="clear" w:color="auto" w:fill="FFFFFF"/>
            <w:noWrap w:val="0"/>
            <w:tcMar>
              <w:top w:w="0" w:type="dxa"/>
              <w:left w:w="108" w:type="dxa"/>
              <w:bottom w:w="0" w:type="dxa"/>
              <w:right w:w="108" w:type="dxa"/>
            </w:tcMar>
            <w:vAlign w:val="center"/>
          </w:tcPr>
          <w:p w14:paraId="0E79B7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＞4.50</w:t>
            </w:r>
          </w:p>
        </w:tc>
      </w:tr>
      <w:tr w14:paraId="003A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continue"/>
            <w:shd w:val="clear" w:color="auto" w:fill="FFFFFF"/>
            <w:noWrap w:val="0"/>
            <w:tcMar>
              <w:top w:w="0" w:type="dxa"/>
              <w:left w:w="108" w:type="dxa"/>
              <w:bottom w:w="0" w:type="dxa"/>
              <w:right w:w="108" w:type="dxa"/>
            </w:tcMar>
            <w:vAlign w:val="center"/>
          </w:tcPr>
          <w:p w14:paraId="4008F0B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174478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6"/>
                <w:kern w:val="0"/>
                <w:sz w:val="24"/>
                <w:szCs w:val="24"/>
                <w:highlight w:val="none"/>
                <w14:textFill>
                  <w14:solidFill>
                    <w14:schemeClr w14:val="tx1"/>
                  </w14:solidFill>
                </w14:textFill>
              </w:rPr>
              <w:t>其中：每千人口中医类别执业（助理）医师数</w:t>
            </w:r>
          </w:p>
        </w:tc>
        <w:tc>
          <w:tcPr>
            <w:tcW w:w="537" w:type="pct"/>
            <w:shd w:val="clear" w:color="auto" w:fill="FFFFFF"/>
            <w:noWrap w:val="0"/>
            <w:tcMar>
              <w:top w:w="0" w:type="dxa"/>
              <w:left w:w="108" w:type="dxa"/>
              <w:bottom w:w="0" w:type="dxa"/>
              <w:right w:w="108" w:type="dxa"/>
            </w:tcMar>
            <w:vAlign w:val="center"/>
          </w:tcPr>
          <w:p w14:paraId="7AE0D2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人</w:t>
            </w:r>
          </w:p>
        </w:tc>
        <w:tc>
          <w:tcPr>
            <w:tcW w:w="652" w:type="pct"/>
            <w:shd w:val="clear" w:color="auto" w:fill="FFFFFF"/>
            <w:noWrap w:val="0"/>
            <w:tcMar>
              <w:top w:w="0" w:type="dxa"/>
              <w:left w:w="108" w:type="dxa"/>
              <w:bottom w:w="0" w:type="dxa"/>
              <w:right w:w="108" w:type="dxa"/>
            </w:tcMar>
            <w:vAlign w:val="center"/>
          </w:tcPr>
          <w:p w14:paraId="1FDCBF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0.57</w:t>
            </w:r>
          </w:p>
        </w:tc>
        <w:tc>
          <w:tcPr>
            <w:tcW w:w="607" w:type="pct"/>
            <w:shd w:val="clear" w:color="auto" w:fill="FFFFFF"/>
            <w:noWrap w:val="0"/>
            <w:tcMar>
              <w:top w:w="0" w:type="dxa"/>
              <w:left w:w="108" w:type="dxa"/>
              <w:bottom w:w="0" w:type="dxa"/>
              <w:right w:w="108" w:type="dxa"/>
            </w:tcMar>
            <w:vAlign w:val="center"/>
          </w:tcPr>
          <w:p w14:paraId="7E7D4A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FFFFFF"/>
            <w:noWrap w:val="0"/>
            <w:tcMar>
              <w:top w:w="0" w:type="dxa"/>
              <w:left w:w="108" w:type="dxa"/>
              <w:bottom w:w="0" w:type="dxa"/>
              <w:right w:w="108" w:type="dxa"/>
            </w:tcMar>
            <w:vAlign w:val="center"/>
          </w:tcPr>
          <w:p w14:paraId="29E4F7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已完成</w:t>
            </w:r>
          </w:p>
        </w:tc>
        <w:tc>
          <w:tcPr>
            <w:tcW w:w="738" w:type="pct"/>
            <w:shd w:val="clear" w:color="auto" w:fill="FFFFFF"/>
            <w:noWrap w:val="0"/>
            <w:tcMar>
              <w:top w:w="0" w:type="dxa"/>
              <w:left w:w="108" w:type="dxa"/>
              <w:bottom w:w="0" w:type="dxa"/>
              <w:right w:w="108" w:type="dxa"/>
            </w:tcMar>
            <w:vAlign w:val="center"/>
          </w:tcPr>
          <w:p w14:paraId="7B22A1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ug-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0.57</w:t>
            </w:r>
          </w:p>
        </w:tc>
      </w:tr>
      <w:tr w14:paraId="19C4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continue"/>
            <w:shd w:val="clear" w:color="auto" w:fill="FFFFFF"/>
            <w:noWrap w:val="0"/>
            <w:tcMar>
              <w:top w:w="0" w:type="dxa"/>
              <w:left w:w="108" w:type="dxa"/>
              <w:bottom w:w="0" w:type="dxa"/>
              <w:right w:w="108" w:type="dxa"/>
            </w:tcMar>
            <w:vAlign w:val="center"/>
          </w:tcPr>
          <w:p w14:paraId="514F80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21845DD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t>每千人口注册护士数</w:t>
            </w:r>
          </w:p>
        </w:tc>
        <w:tc>
          <w:tcPr>
            <w:tcW w:w="537" w:type="pct"/>
            <w:shd w:val="clear" w:color="auto" w:fill="FFFFFF"/>
            <w:noWrap w:val="0"/>
            <w:tcMar>
              <w:top w:w="0" w:type="dxa"/>
              <w:left w:w="108" w:type="dxa"/>
              <w:bottom w:w="0" w:type="dxa"/>
              <w:right w:w="108" w:type="dxa"/>
            </w:tcMar>
            <w:vAlign w:val="center"/>
          </w:tcPr>
          <w:p w14:paraId="706744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人</w:t>
            </w:r>
          </w:p>
        </w:tc>
        <w:tc>
          <w:tcPr>
            <w:tcW w:w="652" w:type="pct"/>
            <w:shd w:val="clear" w:color="auto" w:fill="FFFFFF"/>
            <w:noWrap w:val="0"/>
            <w:tcMar>
              <w:top w:w="0" w:type="dxa"/>
              <w:left w:w="108" w:type="dxa"/>
              <w:bottom w:w="0" w:type="dxa"/>
              <w:right w:w="108" w:type="dxa"/>
            </w:tcMar>
            <w:vAlign w:val="center"/>
          </w:tcPr>
          <w:p w14:paraId="18E568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＞4</w:t>
            </w:r>
          </w:p>
        </w:tc>
        <w:tc>
          <w:tcPr>
            <w:tcW w:w="607" w:type="pct"/>
            <w:shd w:val="clear" w:color="auto" w:fill="FFFFFF"/>
            <w:noWrap w:val="0"/>
            <w:tcMar>
              <w:top w:w="0" w:type="dxa"/>
              <w:left w:w="108" w:type="dxa"/>
              <w:bottom w:w="0" w:type="dxa"/>
              <w:right w:w="108" w:type="dxa"/>
            </w:tcMar>
            <w:vAlign w:val="center"/>
          </w:tcPr>
          <w:p w14:paraId="472A43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FFFFFF"/>
            <w:noWrap w:val="0"/>
            <w:tcMar>
              <w:top w:w="0" w:type="dxa"/>
              <w:left w:w="108" w:type="dxa"/>
              <w:bottom w:w="0" w:type="dxa"/>
              <w:right w:w="108" w:type="dxa"/>
            </w:tcMar>
            <w:vAlign w:val="center"/>
          </w:tcPr>
          <w:p w14:paraId="731E86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已完成</w:t>
            </w:r>
          </w:p>
        </w:tc>
        <w:tc>
          <w:tcPr>
            <w:tcW w:w="738" w:type="pct"/>
            <w:shd w:val="clear" w:color="auto" w:fill="FFFFFF"/>
            <w:noWrap w:val="0"/>
            <w:tcMar>
              <w:top w:w="0" w:type="dxa"/>
              <w:left w:w="108" w:type="dxa"/>
              <w:bottom w:w="0" w:type="dxa"/>
              <w:right w:w="108" w:type="dxa"/>
            </w:tcMar>
            <w:vAlign w:val="center"/>
          </w:tcPr>
          <w:p w14:paraId="02493C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ug-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＞4</w:t>
            </w:r>
          </w:p>
        </w:tc>
      </w:tr>
      <w:tr w14:paraId="5007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continue"/>
            <w:shd w:val="clear" w:color="auto" w:fill="FFFFFF"/>
            <w:noWrap w:val="0"/>
            <w:tcMar>
              <w:top w:w="0" w:type="dxa"/>
              <w:left w:w="108" w:type="dxa"/>
              <w:bottom w:w="0" w:type="dxa"/>
              <w:right w:w="108" w:type="dxa"/>
            </w:tcMar>
            <w:vAlign w:val="center"/>
          </w:tcPr>
          <w:p w14:paraId="7F5DC8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23B50F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t>每万人口全科医生数</w:t>
            </w:r>
          </w:p>
        </w:tc>
        <w:tc>
          <w:tcPr>
            <w:tcW w:w="537" w:type="pct"/>
            <w:shd w:val="clear" w:color="auto" w:fill="FFFFFF"/>
            <w:noWrap w:val="0"/>
            <w:tcMar>
              <w:top w:w="0" w:type="dxa"/>
              <w:left w:w="108" w:type="dxa"/>
              <w:bottom w:w="0" w:type="dxa"/>
              <w:right w:w="108" w:type="dxa"/>
            </w:tcMar>
            <w:vAlign w:val="center"/>
          </w:tcPr>
          <w:p w14:paraId="3DF940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人</w:t>
            </w:r>
          </w:p>
        </w:tc>
        <w:tc>
          <w:tcPr>
            <w:tcW w:w="652" w:type="pct"/>
            <w:shd w:val="clear" w:color="auto" w:fill="FFFFFF"/>
            <w:noWrap w:val="0"/>
            <w:tcMar>
              <w:top w:w="0" w:type="dxa"/>
              <w:left w:w="108" w:type="dxa"/>
              <w:bottom w:w="0" w:type="dxa"/>
              <w:right w:w="108" w:type="dxa"/>
            </w:tcMar>
            <w:vAlign w:val="center"/>
          </w:tcPr>
          <w:p w14:paraId="1E4A2E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＞3</w:t>
            </w:r>
          </w:p>
        </w:tc>
        <w:tc>
          <w:tcPr>
            <w:tcW w:w="607" w:type="pct"/>
            <w:shd w:val="clear" w:color="auto" w:fill="FFFFFF"/>
            <w:noWrap w:val="0"/>
            <w:tcMar>
              <w:top w:w="0" w:type="dxa"/>
              <w:left w:w="108" w:type="dxa"/>
              <w:bottom w:w="0" w:type="dxa"/>
              <w:right w:w="108" w:type="dxa"/>
            </w:tcMar>
            <w:vAlign w:val="center"/>
          </w:tcPr>
          <w:p w14:paraId="67E6938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约束性</w:t>
            </w:r>
          </w:p>
        </w:tc>
        <w:tc>
          <w:tcPr>
            <w:tcW w:w="571" w:type="pct"/>
            <w:shd w:val="clear" w:color="auto" w:fill="FFFFFF"/>
            <w:noWrap w:val="0"/>
            <w:tcMar>
              <w:top w:w="0" w:type="dxa"/>
              <w:left w:w="108" w:type="dxa"/>
              <w:bottom w:w="0" w:type="dxa"/>
              <w:right w:w="108" w:type="dxa"/>
            </w:tcMar>
            <w:vAlign w:val="center"/>
          </w:tcPr>
          <w:p w14:paraId="4D056E1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可完成</w:t>
            </w:r>
          </w:p>
        </w:tc>
        <w:tc>
          <w:tcPr>
            <w:tcW w:w="738" w:type="pct"/>
            <w:shd w:val="clear" w:color="auto" w:fill="FFFFFF"/>
            <w:noWrap w:val="0"/>
            <w:tcMar>
              <w:top w:w="0" w:type="dxa"/>
              <w:left w:w="108" w:type="dxa"/>
              <w:bottom w:w="0" w:type="dxa"/>
              <w:right w:w="108" w:type="dxa"/>
            </w:tcMar>
            <w:vAlign w:val="center"/>
          </w:tcPr>
          <w:p w14:paraId="5EBA96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ug-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＞3</w:t>
            </w:r>
          </w:p>
        </w:tc>
      </w:tr>
      <w:tr w14:paraId="31CD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restart"/>
            <w:shd w:val="clear" w:color="auto" w:fill="FFFFFF"/>
            <w:noWrap w:val="0"/>
            <w:vAlign w:val="center"/>
          </w:tcPr>
          <w:p w14:paraId="3E9B53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健康服务</w:t>
            </w:r>
          </w:p>
        </w:tc>
        <w:tc>
          <w:tcPr>
            <w:tcW w:w="1066" w:type="pct"/>
            <w:shd w:val="clear" w:color="auto" w:fill="FFFFFF"/>
            <w:noWrap w:val="0"/>
            <w:tcMar>
              <w:top w:w="0" w:type="dxa"/>
              <w:left w:w="108" w:type="dxa"/>
              <w:bottom w:w="0" w:type="dxa"/>
              <w:right w:w="108" w:type="dxa"/>
            </w:tcMar>
            <w:vAlign w:val="center"/>
          </w:tcPr>
          <w:p w14:paraId="6A451FC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6"/>
                <w:kern w:val="0"/>
                <w:sz w:val="24"/>
                <w:szCs w:val="24"/>
                <w:highlight w:val="none"/>
                <w14:textFill>
                  <w14:solidFill>
                    <w14:schemeClr w14:val="tx1"/>
                  </w14:solidFill>
                </w14:textFill>
              </w:rPr>
              <w:t>高血压、2型糖尿病患者基层</w:t>
            </w:r>
            <w:r>
              <w:rPr>
                <w:rFonts w:hint="default" w:ascii="Times New Roman" w:hAnsi="Times New Roman" w:eastAsia="仿宋_GB2312" w:cs="Times New Roman"/>
                <w:color w:val="000000" w:themeColor="text1"/>
                <w:spacing w:val="-11"/>
                <w:kern w:val="0"/>
                <w:sz w:val="24"/>
                <w:szCs w:val="24"/>
                <w:highlight w:val="none"/>
                <w14:textFill>
                  <w14:solidFill>
                    <w14:schemeClr w14:val="tx1"/>
                  </w14:solidFill>
                </w14:textFill>
              </w:rPr>
              <w:t>规范管理服务率</w:t>
            </w:r>
          </w:p>
        </w:tc>
        <w:tc>
          <w:tcPr>
            <w:tcW w:w="537" w:type="pct"/>
            <w:shd w:val="clear" w:color="auto" w:fill="FFFFFF"/>
            <w:noWrap w:val="0"/>
            <w:tcMar>
              <w:top w:w="0" w:type="dxa"/>
              <w:left w:w="108" w:type="dxa"/>
              <w:bottom w:w="0" w:type="dxa"/>
              <w:right w:w="108" w:type="dxa"/>
            </w:tcMar>
            <w:vAlign w:val="center"/>
          </w:tcPr>
          <w:p w14:paraId="386143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w:t>
            </w:r>
          </w:p>
        </w:tc>
        <w:tc>
          <w:tcPr>
            <w:tcW w:w="652" w:type="pct"/>
            <w:shd w:val="clear" w:color="auto" w:fill="FFFFFF"/>
            <w:noWrap w:val="0"/>
            <w:tcMar>
              <w:top w:w="0" w:type="dxa"/>
              <w:left w:w="108" w:type="dxa"/>
              <w:bottom w:w="0" w:type="dxa"/>
              <w:right w:w="108" w:type="dxa"/>
            </w:tcMar>
            <w:vAlign w:val="center"/>
          </w:tcPr>
          <w:p w14:paraId="2DE4D5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70</w:t>
            </w:r>
          </w:p>
        </w:tc>
        <w:tc>
          <w:tcPr>
            <w:tcW w:w="607" w:type="pct"/>
            <w:shd w:val="clear" w:color="auto" w:fill="FFFFFF"/>
            <w:noWrap w:val="0"/>
            <w:tcMar>
              <w:top w:w="0" w:type="dxa"/>
              <w:left w:w="108" w:type="dxa"/>
              <w:bottom w:w="0" w:type="dxa"/>
              <w:right w:w="108" w:type="dxa"/>
            </w:tcMar>
            <w:vAlign w:val="center"/>
          </w:tcPr>
          <w:p w14:paraId="5259C3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FFFFFF"/>
            <w:noWrap w:val="0"/>
            <w:tcMar>
              <w:top w:w="0" w:type="dxa"/>
              <w:left w:w="108" w:type="dxa"/>
              <w:bottom w:w="0" w:type="dxa"/>
              <w:right w:w="108" w:type="dxa"/>
            </w:tcMar>
            <w:vAlign w:val="center"/>
          </w:tcPr>
          <w:p w14:paraId="48CF48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可</w:t>
            </w: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完成</w:t>
            </w:r>
          </w:p>
        </w:tc>
        <w:tc>
          <w:tcPr>
            <w:tcW w:w="738" w:type="pct"/>
            <w:shd w:val="clear" w:color="auto" w:fill="FFFFFF"/>
            <w:noWrap w:val="0"/>
            <w:tcMar>
              <w:top w:w="0" w:type="dxa"/>
              <w:left w:w="108" w:type="dxa"/>
              <w:bottom w:w="0" w:type="dxa"/>
              <w:right w:w="108" w:type="dxa"/>
            </w:tcMar>
            <w:vAlign w:val="center"/>
          </w:tcPr>
          <w:p w14:paraId="2FA311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70</w:t>
            </w:r>
          </w:p>
        </w:tc>
      </w:tr>
      <w:tr w14:paraId="7343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continue"/>
            <w:shd w:val="clear" w:color="auto" w:fill="FFFFFF"/>
            <w:noWrap w:val="0"/>
            <w:vAlign w:val="center"/>
          </w:tcPr>
          <w:p w14:paraId="4A5673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5A5DE2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11"/>
                <w:kern w:val="0"/>
                <w:sz w:val="24"/>
                <w:szCs w:val="24"/>
                <w:highlight w:val="none"/>
                <w:lang w:val="en-US" w:eastAsia="zh-CN"/>
                <w14:textFill>
                  <w14:solidFill>
                    <w14:schemeClr w14:val="tx1"/>
                  </w14:solidFill>
                </w14:textFill>
              </w:rPr>
              <w:t>适龄儿童免疫规划疫苗接种率（%）</w:t>
            </w:r>
          </w:p>
        </w:tc>
        <w:tc>
          <w:tcPr>
            <w:tcW w:w="537" w:type="pct"/>
            <w:shd w:val="clear" w:color="auto" w:fill="FFFFFF"/>
            <w:noWrap w:val="0"/>
            <w:tcMar>
              <w:top w:w="0" w:type="dxa"/>
              <w:left w:w="108" w:type="dxa"/>
              <w:bottom w:w="0" w:type="dxa"/>
              <w:right w:w="108" w:type="dxa"/>
            </w:tcMar>
            <w:vAlign w:val="center"/>
          </w:tcPr>
          <w:p w14:paraId="093548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w:t>
            </w:r>
          </w:p>
        </w:tc>
        <w:tc>
          <w:tcPr>
            <w:tcW w:w="652" w:type="pct"/>
            <w:shd w:val="clear" w:color="auto" w:fill="FFFFFF"/>
            <w:noWrap w:val="0"/>
            <w:tcMar>
              <w:top w:w="0" w:type="dxa"/>
              <w:left w:w="108" w:type="dxa"/>
              <w:bottom w:w="0" w:type="dxa"/>
              <w:right w:w="108" w:type="dxa"/>
            </w:tcMar>
            <w:vAlign w:val="center"/>
          </w:tcPr>
          <w:p w14:paraId="29318E0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＞9</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0</w:t>
            </w:r>
          </w:p>
        </w:tc>
        <w:tc>
          <w:tcPr>
            <w:tcW w:w="607" w:type="pct"/>
            <w:shd w:val="clear" w:color="auto" w:fill="FFFFFF"/>
            <w:noWrap w:val="0"/>
            <w:tcMar>
              <w:top w:w="0" w:type="dxa"/>
              <w:left w:w="108" w:type="dxa"/>
              <w:bottom w:w="0" w:type="dxa"/>
              <w:right w:w="108" w:type="dxa"/>
            </w:tcMar>
            <w:vAlign w:val="center"/>
          </w:tcPr>
          <w:p w14:paraId="514DD7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约束性</w:t>
            </w:r>
          </w:p>
        </w:tc>
        <w:tc>
          <w:tcPr>
            <w:tcW w:w="571" w:type="pct"/>
            <w:shd w:val="clear" w:color="auto" w:fill="FFFFFF"/>
            <w:noWrap w:val="0"/>
            <w:tcMar>
              <w:top w:w="0" w:type="dxa"/>
              <w:left w:w="108" w:type="dxa"/>
              <w:bottom w:w="0" w:type="dxa"/>
              <w:right w:w="108" w:type="dxa"/>
            </w:tcMar>
            <w:vAlign w:val="center"/>
          </w:tcPr>
          <w:p w14:paraId="6464C1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可完成</w:t>
            </w:r>
          </w:p>
        </w:tc>
        <w:tc>
          <w:tcPr>
            <w:tcW w:w="738" w:type="pct"/>
            <w:shd w:val="clear" w:color="auto" w:fill="FFFFFF"/>
            <w:noWrap w:val="0"/>
            <w:tcMar>
              <w:top w:w="0" w:type="dxa"/>
              <w:left w:w="108" w:type="dxa"/>
              <w:bottom w:w="0" w:type="dxa"/>
              <w:right w:w="108" w:type="dxa"/>
            </w:tcMar>
            <w:vAlign w:val="center"/>
          </w:tcPr>
          <w:p w14:paraId="79D215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≥95</w:t>
            </w:r>
          </w:p>
        </w:tc>
      </w:tr>
      <w:tr w14:paraId="5A52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continue"/>
            <w:shd w:val="clear" w:color="auto" w:fill="FFFFFF"/>
            <w:noWrap w:val="0"/>
            <w:vAlign w:val="center"/>
          </w:tcPr>
          <w:p w14:paraId="44BE55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614B4E8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0"/>
                <w:sz w:val="24"/>
                <w:szCs w:val="24"/>
                <w:highlight w:val="none"/>
                <w:lang w:val="en-US" w:eastAsia="zh-CN"/>
                <w14:textFill>
                  <w14:solidFill>
                    <w14:schemeClr w14:val="tx1"/>
                  </w14:solidFill>
                </w14:textFill>
              </w:rPr>
              <w:t>65岁以上老人城</w:t>
            </w:r>
            <w:r>
              <w:rPr>
                <w:rFonts w:hint="default" w:ascii="Times New Roman" w:hAnsi="Times New Roman" w:eastAsia="仿宋_GB2312" w:cs="Times New Roman"/>
                <w:color w:val="000000" w:themeColor="text1"/>
                <w:spacing w:val="-11"/>
                <w:kern w:val="0"/>
                <w:sz w:val="24"/>
                <w:szCs w:val="24"/>
                <w:highlight w:val="none"/>
                <w:lang w:val="en-US" w:eastAsia="zh-CN"/>
                <w14:textFill>
                  <w14:solidFill>
                    <w14:schemeClr w14:val="tx1"/>
                  </w14:solidFill>
                </w14:textFill>
              </w:rPr>
              <w:t>乡社区规范健康管理服务率</w:t>
            </w:r>
          </w:p>
        </w:tc>
        <w:tc>
          <w:tcPr>
            <w:tcW w:w="537" w:type="pct"/>
            <w:shd w:val="clear" w:color="auto" w:fill="FFFFFF"/>
            <w:noWrap w:val="0"/>
            <w:tcMar>
              <w:top w:w="0" w:type="dxa"/>
              <w:left w:w="108" w:type="dxa"/>
              <w:bottom w:w="0" w:type="dxa"/>
              <w:right w:w="108" w:type="dxa"/>
            </w:tcMar>
            <w:vAlign w:val="center"/>
          </w:tcPr>
          <w:p w14:paraId="0D5E03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w:t>
            </w:r>
          </w:p>
        </w:tc>
        <w:tc>
          <w:tcPr>
            <w:tcW w:w="652" w:type="pct"/>
            <w:shd w:val="clear" w:color="auto" w:fill="FFFFFF"/>
            <w:noWrap w:val="0"/>
            <w:tcMar>
              <w:top w:w="0" w:type="dxa"/>
              <w:left w:w="108" w:type="dxa"/>
              <w:bottom w:w="0" w:type="dxa"/>
              <w:right w:w="108" w:type="dxa"/>
            </w:tcMar>
            <w:vAlign w:val="center"/>
          </w:tcPr>
          <w:p w14:paraId="739375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70</w:t>
            </w:r>
          </w:p>
        </w:tc>
        <w:tc>
          <w:tcPr>
            <w:tcW w:w="607" w:type="pct"/>
            <w:shd w:val="clear" w:color="auto" w:fill="FFFFFF"/>
            <w:noWrap w:val="0"/>
            <w:tcMar>
              <w:top w:w="0" w:type="dxa"/>
              <w:left w:w="108" w:type="dxa"/>
              <w:bottom w:w="0" w:type="dxa"/>
              <w:right w:w="108" w:type="dxa"/>
            </w:tcMar>
            <w:vAlign w:val="center"/>
          </w:tcPr>
          <w:p w14:paraId="31D9F1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FFFFFF"/>
            <w:noWrap w:val="0"/>
            <w:tcMar>
              <w:top w:w="0" w:type="dxa"/>
              <w:left w:w="108" w:type="dxa"/>
              <w:bottom w:w="0" w:type="dxa"/>
              <w:right w:w="108" w:type="dxa"/>
            </w:tcMar>
            <w:vAlign w:val="center"/>
          </w:tcPr>
          <w:p w14:paraId="34FFF8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可</w:t>
            </w: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完成</w:t>
            </w:r>
          </w:p>
        </w:tc>
        <w:tc>
          <w:tcPr>
            <w:tcW w:w="738" w:type="pct"/>
            <w:shd w:val="clear" w:color="auto" w:fill="FFFFFF"/>
            <w:noWrap w:val="0"/>
            <w:tcMar>
              <w:top w:w="0" w:type="dxa"/>
              <w:left w:w="108" w:type="dxa"/>
              <w:bottom w:w="0" w:type="dxa"/>
              <w:right w:w="108" w:type="dxa"/>
            </w:tcMar>
            <w:vAlign w:val="center"/>
          </w:tcPr>
          <w:p w14:paraId="4187C2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70</w:t>
            </w:r>
          </w:p>
        </w:tc>
      </w:tr>
      <w:tr w14:paraId="4139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cantSplit/>
          <w:trHeight w:val="283" w:hRule="atLeast"/>
          <w:jc w:val="center"/>
        </w:trPr>
        <w:tc>
          <w:tcPr>
            <w:tcW w:w="824" w:type="pct"/>
            <w:vMerge w:val="continue"/>
            <w:shd w:val="clear" w:color="auto" w:fill="FFFFFF"/>
            <w:noWrap w:val="0"/>
            <w:vAlign w:val="center"/>
          </w:tcPr>
          <w:p w14:paraId="35AD3A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066" w:type="pct"/>
            <w:shd w:val="clear" w:color="auto" w:fill="FFFFFF"/>
            <w:noWrap w:val="0"/>
            <w:tcMar>
              <w:top w:w="0" w:type="dxa"/>
              <w:left w:w="108" w:type="dxa"/>
              <w:bottom w:w="0" w:type="dxa"/>
              <w:right w:w="108" w:type="dxa"/>
            </w:tcMar>
            <w:vAlign w:val="center"/>
          </w:tcPr>
          <w:p w14:paraId="17D830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spacing w:val="0"/>
                <w:kern w:val="0"/>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24"/>
                <w:szCs w:val="24"/>
                <w:highlight w:val="none"/>
                <w:lang w:eastAsia="zh-CN"/>
                <w14:textFill>
                  <w14:solidFill>
                    <w14:schemeClr w14:val="tx1"/>
                  </w14:solidFill>
                </w14:textFill>
              </w:rPr>
              <w:t>严重精神障碍管理率</w:t>
            </w:r>
          </w:p>
        </w:tc>
        <w:tc>
          <w:tcPr>
            <w:tcW w:w="537" w:type="pct"/>
            <w:shd w:val="clear" w:color="auto" w:fill="FFFFFF"/>
            <w:noWrap w:val="0"/>
            <w:tcMar>
              <w:top w:w="0" w:type="dxa"/>
              <w:left w:w="108" w:type="dxa"/>
              <w:bottom w:w="0" w:type="dxa"/>
              <w:right w:w="108" w:type="dxa"/>
            </w:tcMar>
            <w:vAlign w:val="center"/>
          </w:tcPr>
          <w:p w14:paraId="4807500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w:t>
            </w:r>
          </w:p>
        </w:tc>
        <w:tc>
          <w:tcPr>
            <w:tcW w:w="652" w:type="pct"/>
            <w:shd w:val="clear" w:color="auto" w:fill="FFFFFF"/>
            <w:noWrap w:val="0"/>
            <w:tcMar>
              <w:top w:w="0" w:type="dxa"/>
              <w:left w:w="108" w:type="dxa"/>
              <w:bottom w:w="0" w:type="dxa"/>
              <w:right w:w="108" w:type="dxa"/>
            </w:tcMar>
            <w:vAlign w:val="center"/>
          </w:tcPr>
          <w:p w14:paraId="617B45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＞9</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0</w:t>
            </w:r>
          </w:p>
        </w:tc>
        <w:tc>
          <w:tcPr>
            <w:tcW w:w="607" w:type="pct"/>
            <w:shd w:val="clear" w:color="auto" w:fill="FFFFFF"/>
            <w:noWrap w:val="0"/>
            <w:tcMar>
              <w:top w:w="0" w:type="dxa"/>
              <w:left w:w="108" w:type="dxa"/>
              <w:bottom w:w="0" w:type="dxa"/>
              <w:right w:w="108" w:type="dxa"/>
            </w:tcMar>
            <w:vAlign w:val="center"/>
          </w:tcPr>
          <w:p w14:paraId="772CE3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预期性</w:t>
            </w:r>
          </w:p>
        </w:tc>
        <w:tc>
          <w:tcPr>
            <w:tcW w:w="571" w:type="pct"/>
            <w:shd w:val="clear" w:color="auto" w:fill="FFFFFF"/>
            <w:noWrap w:val="0"/>
            <w:tcMar>
              <w:top w:w="0" w:type="dxa"/>
              <w:left w:w="108" w:type="dxa"/>
              <w:bottom w:w="0" w:type="dxa"/>
              <w:right w:w="108" w:type="dxa"/>
            </w:tcMar>
            <w:vAlign w:val="center"/>
          </w:tcPr>
          <w:p w14:paraId="301395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可</w:t>
            </w: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完成</w:t>
            </w:r>
          </w:p>
        </w:tc>
        <w:tc>
          <w:tcPr>
            <w:tcW w:w="738" w:type="pct"/>
            <w:shd w:val="clear" w:color="auto" w:fill="FFFFFF"/>
            <w:noWrap w:val="0"/>
            <w:tcMar>
              <w:top w:w="0" w:type="dxa"/>
              <w:left w:w="108" w:type="dxa"/>
              <w:bottom w:w="0" w:type="dxa"/>
              <w:right w:w="108" w:type="dxa"/>
            </w:tcMar>
            <w:vAlign w:val="center"/>
          </w:tcPr>
          <w:p w14:paraId="1A6611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＞9</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0</w:t>
            </w:r>
          </w:p>
        </w:tc>
      </w:tr>
    </w:tbl>
    <w:p w14:paraId="598B9D64">
      <w:pPr>
        <w:rPr>
          <w:rFonts w:hint="default" w:ascii="Times New Roman" w:hAnsi="Times New Roman" w:cs="Times New Roman"/>
          <w:color w:val="000000" w:themeColor="text1"/>
          <w:sz w:val="32"/>
          <w:szCs w:val="32"/>
          <w:highlight w:val="none"/>
          <w:lang w:val="zh-CN"/>
          <w14:textFill>
            <w14:solidFill>
              <w14:schemeClr w14:val="tx1"/>
            </w14:solidFill>
          </w14:textFill>
        </w:rPr>
      </w:pPr>
      <w:bookmarkStart w:id="7" w:name="_Toc27188"/>
      <w:bookmarkStart w:id="8" w:name="_Toc31382"/>
      <w:bookmarkStart w:id="9" w:name="_Toc2297"/>
      <w:bookmarkStart w:id="10" w:name="OLE_LINK4"/>
      <w:r>
        <w:rPr>
          <w:rFonts w:hint="default" w:ascii="Times New Roman" w:hAnsi="Times New Roman" w:cs="Times New Roman"/>
          <w:color w:val="000000" w:themeColor="text1"/>
          <w:sz w:val="32"/>
          <w:szCs w:val="32"/>
          <w:highlight w:val="none"/>
          <w:lang w:val="zh-CN"/>
          <w14:textFill>
            <w14:solidFill>
              <w14:schemeClr w14:val="tx1"/>
            </w14:solidFill>
          </w14:textFill>
        </w:rPr>
        <w:br w:type="page"/>
      </w:r>
    </w:p>
    <w:p w14:paraId="767D30B0">
      <w:pPr>
        <w:pStyle w:val="2"/>
        <w:overflowPunct w:val="0"/>
        <w:spacing w:before="313" w:beforeLines="100" w:after="313" w:afterLines="100" w:line="560" w:lineRule="exact"/>
        <w:ind w:firstLine="0" w:firstLineChars="0"/>
        <w:jc w:val="center"/>
        <w:rPr>
          <w:rFonts w:hint="default" w:ascii="Times New Roman" w:hAnsi="Times New Roman" w:cs="Times New Roman"/>
          <w:color w:val="000000" w:themeColor="text1"/>
          <w:sz w:val="32"/>
          <w:szCs w:val="32"/>
          <w:highlight w:val="none"/>
          <w:lang w:val="zh-CN"/>
          <w14:textFill>
            <w14:solidFill>
              <w14:schemeClr w14:val="tx1"/>
            </w14:solidFill>
          </w14:textFill>
        </w:rPr>
      </w:pPr>
      <w:r>
        <w:rPr>
          <w:rFonts w:hint="default" w:ascii="Times New Roman" w:hAnsi="Times New Roman" w:cs="Times New Roman"/>
          <w:color w:val="000000" w:themeColor="text1"/>
          <w:sz w:val="32"/>
          <w:szCs w:val="32"/>
          <w:highlight w:val="none"/>
          <w:lang w:val="zh-CN"/>
          <w14:textFill>
            <w14:solidFill>
              <w14:schemeClr w14:val="tx1"/>
            </w14:solidFill>
          </w14:textFill>
        </w:rPr>
        <w:t>第四章重点任务</w:t>
      </w:r>
      <w:bookmarkEnd w:id="7"/>
      <w:bookmarkEnd w:id="8"/>
      <w:bookmarkEnd w:id="9"/>
    </w:p>
    <w:p w14:paraId="73ED221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eastAsia" w:ascii="Times New Roman" w:hAnsi="Times New Roman" w:eastAsia="黑体" w:cs="Times New Roman"/>
          <w:b w:val="0"/>
          <w:bCs/>
          <w:color w:val="000000" w:themeColor="text1"/>
          <w:kern w:val="2"/>
          <w:sz w:val="32"/>
          <w:szCs w:val="32"/>
          <w:highlight w:val="none"/>
          <w:lang w:val="en-US" w:eastAsia="zh-CN" w:bidi="ar-SA"/>
          <w14:textFill>
            <w14:solidFill>
              <w14:schemeClr w14:val="tx1"/>
            </w14:solidFill>
          </w14:textFill>
        </w:rPr>
        <w:t xml:space="preserve">第一节 </w:t>
      </w: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深化体制机制改革，提升治理效能</w:t>
      </w:r>
    </w:p>
    <w:p w14:paraId="77CDDA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以改革为动力，破解深层次体制机制障碍，以群众健康需求为导向，优化资源配置、提升服务可及性，增强群众获得感、幸福感与安全感。</w:t>
      </w:r>
    </w:p>
    <w:p w14:paraId="4BEFA6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一、促进医疗、医保、医药协同发展和治理。</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健全卫生健康、医疗保障、市场监管等部门参与的常态化协调与会商机制，巩固并扩大基本药物目录、优化医疗服务价格管理，重点解决医保报销政策衔接等跨部门实际问题。加快推进区域统一医药卫生信息共享平台建设，逐步实现处方流转、药品采购、医保结算等数据互联互通与业务协同。聚焦药品供应保障、临床合理用药、价格监测等关键环节，协同破解群众就近就医购药堵点，形成政策、管理、服务协同的“三医联动”长效机制。</w:t>
      </w:r>
    </w:p>
    <w:p w14:paraId="44C67AAE">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二、</w:t>
      </w:r>
      <w:r>
        <w:rPr>
          <w:rFonts w:hint="default"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以强基层为重点完善分级诊疗体系</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全面推进深化紧密型城市医疗集团建设，在试点基础上扩面提质，深入学习借鉴三明医改精神及有效做法，强化市级医院支撑引领，推动优质医疗资源常态化下沉。探索将公共卫生服务、技术指导等职能融入医疗集团管理，推动集团内部管理、服务、信息、资源深度整合共享，加快构建管理、责任、利益、服务“四个共同体”，巩固“基层首诊、双向转诊、急慢分治、上下联动”的分级诊疗格局。</w:t>
      </w:r>
    </w:p>
    <w:p w14:paraId="6CEDB8A8">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三、构建医防融合、防治结合的新模式。</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探索</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推动区级疾控中心技术指导、监测预警、应急响应等职能全面融入城市医疗集团运行与考核。完善医疗机构疾控监督员制度，覆盖辖区所有一级及基层医疗机构，健全选派、培训、考核及保障长效机制。着力构建“疾控机构专业引领、二级以上医院枢纽支撑、基层医疗卫生机构网底落实”的三级医防协同体系。强化医疗机构公共卫生责任，推动所有社区卫生服务中心100%规范设置公共卫生科并配备专职人员，制定《医疗机构公共卫生责任清单》，健全传染病与突发公共卫生事件监测预警和快速响应机制。</w:t>
      </w:r>
    </w:p>
    <w:p w14:paraId="53538C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四、深化以公益性为导向的绩效薪酬改革。</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建立以服务数量、质量、技术难度、成本控制、群众满意度及医德医风为核心的“标化工作量”综合绩效考核体系，考核结果与绩效分配、职称评聘、岗位晋升等挂钩，构建物质激励、精神鼓励与职业发展相结合的长效机制。“十五五”期间实现全区公立医疗卫生机构绩效工资总量稳步、有序增长。</w:t>
      </w:r>
    </w:p>
    <w:p w14:paraId="50D088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Segoe UI" w:hAnsi="Segoe UI" w:eastAsia="Segoe UI" w:cs="Segoe UI"/>
          <w:i w:val="0"/>
          <w:iCs w:val="0"/>
          <w:caps w:val="0"/>
          <w:color w:val="0F1115"/>
          <w:spacing w:val="0"/>
          <w:sz w:val="24"/>
          <w:szCs w:val="24"/>
          <w:shd w:val="clear" w:fill="FFFFFF"/>
        </w:rPr>
      </w:pP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五、强化医疗卫生综合监管与法治保障。</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 构建以信用管理为基础、以信息化为支撑、以“双随机、一公开”为基本手段的新型综合监管机制。健全依法行政制度体系，全面推行行政执法公示、执法全过程记录、重大执法决定法制审核制度。落实“谁执法谁普法”责任制，营造尊法学法守法用法的行业生态。</w:t>
      </w:r>
    </w:p>
    <w:p w14:paraId="6E859E15">
      <w:pPr>
        <w:pStyle w:val="3"/>
        <w:keepNext w:val="0"/>
        <w:keepLines w:val="0"/>
        <w:pageBreakBefore w:val="0"/>
        <w:widowControl w:val="0"/>
        <w:kinsoku/>
        <w:wordWrap/>
        <w:overflowPunct w:val="0"/>
        <w:topLinePunct w:val="0"/>
        <w:autoSpaceDE/>
        <w:autoSpaceDN/>
        <w:bidi w:val="0"/>
        <w:adjustRightInd/>
        <w:snapToGrid/>
        <w:spacing w:before="313" w:beforeLines="100" w:after="313" w:afterLines="100" w:line="560" w:lineRule="exact"/>
        <w:jc w:val="center"/>
        <w:textAlignment w:val="auto"/>
        <w:rPr>
          <w:rFonts w:hint="eastAsia" w:ascii="Times New Roman" w:hAnsi="Times New Roman" w:eastAsia="黑体" w:cs="Times New Roman"/>
          <w:b w:val="0"/>
          <w:color w:val="000000" w:themeColor="text1"/>
          <w:highlight w:val="none"/>
          <w:lang w:val="zh-CN" w:eastAsia="zh-CN"/>
          <w14:textFill>
            <w14:solidFill>
              <w14:schemeClr w14:val="tx1"/>
            </w14:solidFill>
          </w14:textFill>
        </w:rPr>
      </w:pPr>
      <w:r>
        <w:rPr>
          <w:rFonts w:hint="eastAsia" w:ascii="Times New Roman" w:hAnsi="Times New Roman" w:eastAsia="黑体" w:cs="Times New Roman"/>
          <w:b w:val="0"/>
          <w:color w:val="000000" w:themeColor="text1"/>
          <w:highlight w:val="none"/>
          <w:lang w:val="zh-CN" w:eastAsia="zh-CN"/>
          <w14:textFill>
            <w14:solidFill>
              <w14:schemeClr w14:val="tx1"/>
            </w14:solidFill>
          </w14:textFill>
        </w:rPr>
        <w:t>第二节</w:t>
      </w:r>
      <w:r>
        <w:rPr>
          <w:rFonts w:hint="eastAsia" w:ascii="Times New Roman" w:hAnsi="Times New Roman" w:eastAsia="黑体" w:cs="Times New Roman"/>
          <w:b w:val="0"/>
          <w:color w:val="000000" w:themeColor="text1"/>
          <w:highlight w:val="none"/>
          <w:lang w:val="en-US" w:eastAsia="zh-CN"/>
          <w14:textFill>
            <w14:solidFill>
              <w14:schemeClr w14:val="tx1"/>
            </w14:solidFill>
          </w14:textFill>
        </w:rPr>
        <w:t xml:space="preserve"> </w:t>
      </w:r>
      <w:r>
        <w:rPr>
          <w:rFonts w:hint="eastAsia" w:ascii="黑体" w:hAnsi="黑体" w:eastAsia="黑体" w:cs="黑体"/>
          <w:b w:val="0"/>
          <w:bCs w:val="0"/>
          <w:strike w:val="0"/>
          <w:dstrike w:val="0"/>
          <w:color w:val="000000" w:themeColor="text1"/>
          <w:kern w:val="2"/>
          <w:sz w:val="32"/>
          <w:szCs w:val="32"/>
          <w:highlight w:val="none"/>
          <w:lang w:val="en-US" w:eastAsia="zh-CN" w:bidi="ar-SA"/>
          <w14:textFill>
            <w14:solidFill>
              <w14:schemeClr w14:val="tx1"/>
            </w14:solidFill>
          </w14:textFill>
        </w:rPr>
        <w:t>建设优质均衡的健康服务体系</w:t>
      </w:r>
      <w:r>
        <w:rPr>
          <w:rFonts w:hint="eastAsia" w:ascii="Times New Roman" w:hAnsi="Times New Roman" w:eastAsia="黑体" w:cs="Times New Roman"/>
          <w:b w:val="0"/>
          <w:color w:val="000000" w:themeColor="text1"/>
          <w:highlight w:val="none"/>
          <w:lang w:val="zh-CN" w:eastAsia="zh-CN"/>
          <w14:textFill>
            <w14:solidFill>
              <w14:schemeClr w14:val="tx1"/>
            </w14:solidFill>
          </w14:textFill>
        </w:rPr>
        <w:t>，</w:t>
      </w:r>
      <w:r>
        <w:rPr>
          <w:rFonts w:hint="default" w:ascii="Times New Roman" w:hAnsi="Times New Roman" w:eastAsia="黑体" w:cs="Times New Roman"/>
          <w:b w:val="0"/>
          <w:color w:val="000000" w:themeColor="text1"/>
          <w:highlight w:val="none"/>
          <w:u w:val="none"/>
          <w:lang w:val="zh-CN" w:eastAsia="zh-CN"/>
          <w14:textFill>
            <w14:solidFill>
              <w14:schemeClr w14:val="tx1"/>
            </w14:solidFill>
          </w14:textFill>
        </w:rPr>
        <w:t>发挥健康守护作用</w:t>
      </w:r>
    </w:p>
    <w:p w14:paraId="43DD8604">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围绕从“疾病治疗”向“健康维护”转型，持续深化城市医疗集团内涵建设，强化基层服务网络硬实力，筑牢居民健康“守门人”体系。</w:t>
      </w:r>
    </w:p>
    <w:p w14:paraId="265CF76D">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一、</w:t>
      </w:r>
      <w:r>
        <w:rPr>
          <w:rFonts w:hint="eastAsia" w:ascii="黑体" w:hAnsi="黑体" w:eastAsia="黑体" w:cs="黑体"/>
          <w:b w:val="0"/>
          <w:bCs w:val="0"/>
          <w:color w:val="000000" w:themeColor="text1"/>
          <w:kern w:val="2"/>
          <w:sz w:val="32"/>
          <w:szCs w:val="32"/>
          <w:highlight w:val="none"/>
          <w:lang w:val="en-US" w:eastAsia="zh-CN" w:bidi="ar-SA"/>
          <w14:textFill>
            <w14:solidFill>
              <w14:schemeClr w14:val="tx1"/>
            </w14:solidFill>
          </w14:textFill>
        </w:rPr>
        <w:t>深化城市医疗集团内涵建设</w:t>
      </w:r>
    </w:p>
    <w:p w14:paraId="33C0F0BF">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积极配合推进自治区级区域医疗中心建设，强化区域龙头引领。深化紧密型城市医疗集团内部治理，建立统一的议事决策、绩效考核与医疗质量同质化管理体系。依托市级医院优质资源，健全专家常态化下沉机制，通过专家坐诊、教学查房、技术带教、联合门诊等多种形式，将优质医疗服务和技术有效输送至基层。完善集团内基层医疗机构与上级医院间的双向转诊标准、流程与绿色通道，确保转诊顺畅高效。将公共卫生职责履行情况全面纳入集团内部绩效考核体系。到2028年，实现紧密型城市医疗集团高效协同运行，初步建成集团内药事、医学检验、医学影像、心电诊断、消毒供应等资源共享中心。到2030年，“基层首诊、双向转诊、急慢分治、上下联动”的分级诊疗格局更加成熟定型，整合型服务体系全面建成，力争区域内就诊率达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%以上，基层医疗卫生机构诊疗人次占比较“十四五”提升10%以上。</w:t>
      </w:r>
    </w:p>
    <w:p w14:paraId="2566E3DC">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二</w:t>
      </w:r>
      <w:r>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、全面强化基层医疗卫生服务网络与能力</w:t>
      </w:r>
    </w:p>
    <w:p w14:paraId="07F6454F">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zh-CN" w:eastAsia="zh-CN" w:bidi="ar-SA"/>
          <w14:textFill>
            <w14:solidFill>
              <w14:schemeClr w14:val="tx1"/>
            </w14:solidFill>
          </w14:textFill>
        </w:rPr>
        <w:t>（一）优化基层医疗服务网络布局。</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依据辖区人口分布、密度及流动特点，明确社区卫生服务中心（站）设置点位与服务半径。到“十五五”末，持续完善“15分钟医疗服务圈”，实现全域覆盖。重点补强新建城区、老旧小区服务盲区，</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完成2个社区卫生服务站</w:t>
      </w:r>
      <w:r>
        <w:rPr>
          <w:rFonts w:hint="eastAsia"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设置</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并投入使用。</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各站点统一配置基础诊疗设备、信息化系统和急救药品，具备开展全科诊疗、慢病管理、预防保健的能力，40%的站点具备提供中医药服务的能力。针对偏远散居人口、老年人和行动不便人员，建立预约上门服务机制，由家庭医生团队按需提供巡诊、送药及健康管理服务。推动基层医疗机构信息系统互联互通，实现居民电子健康档案实时调阅，检查结果互认，提升服务连续性和协同效率。</w:t>
      </w:r>
    </w:p>
    <w:p w14:paraId="69EEDC35">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u w:val="single"/>
          <w:lang w:val="zh-CN"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zh-CN" w:eastAsia="zh-CN" w:bidi="ar-SA"/>
          <w14:textFill>
            <w14:solidFill>
              <w14:schemeClr w14:val="tx1"/>
            </w14:solidFill>
          </w14:textFill>
        </w:rPr>
        <w:t>（二）完善综合诊疗服务功能。</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利用城市医疗集团、专科联盟等形式，强化与市级医疗机构的协作，突出基层医疗机构在老年病、儿科、慢性病治疗中的基础性作用。拓展基层康复服务，依托市级优质康复资源，探索构建“市级指导、区级落地、社区和</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居家衔接”的分级康复服务网络，为脑卒中、慢性病、骨伤术后等重点人群提供稳定期和恢复期的系统性康复服务。推动市级康复机构与社区卫生服务中心、居家养老服务中心建立紧密协作机制，强化技术指导、质量控制和人员培训，逐步形成“市级医院</w:t>
      </w:r>
      <w:r>
        <w:rPr>
          <w:rFonts w:hint="eastAsia"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区级网络</w:t>
      </w:r>
      <w:r>
        <w:rPr>
          <w:rFonts w:hint="eastAsia"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社区站点</w:t>
      </w:r>
      <w:r>
        <w:rPr>
          <w:rFonts w:hint="eastAsia"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居家服务”有机衔接的康复服务链条。</w:t>
      </w:r>
    </w:p>
    <w:p w14:paraId="4C61C628">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u w:val="single"/>
          <w:lang w:val="zh-CN"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u w:val="none"/>
          <w:lang w:val="zh-CN" w:eastAsia="zh-CN" w:bidi="ar-SA"/>
          <w14:textFill>
            <w14:solidFill>
              <w14:schemeClr w14:val="tx1"/>
            </w14:solidFill>
          </w14:textFill>
        </w:rPr>
        <w:t>（三）实施基层服务能力强基工程。</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对标国家“优质服务基层行”能力标准，系统推进辖区内基层医疗机构及附属站点基础设施整体改造与设备更新，重点实施业务用房综合修缮，硬件提质与流程再造，持续完善“</w:t>
      </w:r>
      <w:r>
        <w:rPr>
          <w:rFonts w:hint="eastAsia"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15</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分钟医疗服务圈”网络功能。围绕国家基层医疗卫生机构设备配置标准，推进诊疗装备迭代升级，为社区卫生服务中心配置彩色多普勒超声诊断仪、数字化X线摄影系统（DR）、除颤监护仪等关键设备，重点补齐影像诊断、急救监护、药品管理等环节设备短板，全面提升疾病诊断准确率、急症处置效率与医疗服务规范化水平。</w:t>
      </w:r>
      <w:r>
        <w:rPr>
          <w:rFonts w:hint="default" w:ascii="Times New Roman" w:hAnsi="Times New Roman" w:eastAsia="仿宋_GB2312" w:cs="Times New Roman"/>
          <w:b w:val="0"/>
          <w:bCs w:val="0"/>
          <w:color w:val="000000" w:themeColor="text1"/>
          <w:kern w:val="2"/>
          <w:sz w:val="32"/>
          <w:szCs w:val="32"/>
          <w:highlight w:val="none"/>
          <w:u w:val="single"/>
          <w:lang w:val="zh-CN" w:eastAsia="zh-CN" w:bidi="ar-SA"/>
          <w14:textFill>
            <w14:solidFill>
              <w14:schemeClr w14:val="tx1"/>
            </w14:solidFill>
          </w14:textFill>
        </w:rPr>
        <w:t>力</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争创建1家社区医院，推动</w:t>
      </w:r>
      <w:r>
        <w:rPr>
          <w:rFonts w:hint="eastAsia"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6</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0%以上的村卫生室达到“优质服务基层行”推荐标准。</w:t>
      </w:r>
    </w:p>
    <w:p w14:paraId="31D1F4D3">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b w:val="0"/>
          <w:bCs/>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楷体_GB2312" w:cs="Times New Roman"/>
          <w:b w:val="0"/>
          <w:bCs/>
          <w:color w:val="000000" w:themeColor="text1"/>
          <w:kern w:val="2"/>
          <w:sz w:val="32"/>
          <w:szCs w:val="32"/>
          <w:highlight w:val="none"/>
          <w:u w:val="none"/>
          <w:lang w:eastAsia="zh-CN" w:bidi="ar-SA"/>
          <w14:textFill>
            <w14:solidFill>
              <w14:schemeClr w14:val="tx1"/>
            </w14:solidFill>
          </w14:textFill>
        </w:rPr>
        <w:t>（四）</w:t>
      </w:r>
      <w:r>
        <w:rPr>
          <w:rFonts w:hint="default" w:ascii="Times New Roman" w:hAnsi="Times New Roman" w:eastAsia="楷体_GB2312" w:cs="Times New Roman"/>
          <w:b w:val="0"/>
          <w:bCs/>
          <w:color w:val="000000" w:themeColor="text1"/>
          <w:kern w:val="2"/>
          <w:sz w:val="32"/>
          <w:szCs w:val="32"/>
          <w:highlight w:val="none"/>
          <w:u w:val="none"/>
          <w:lang w:eastAsia="zh-CN" w:bidi="ar-SA"/>
          <w14:textFill>
            <w14:solidFill>
              <w14:schemeClr w14:val="tx1"/>
            </w14:solidFill>
          </w14:textFill>
        </w:rPr>
        <w:t>推行“一中心一特色”发展。</w:t>
      </w:r>
      <w:r>
        <w:rPr>
          <w:rFonts w:hint="default" w:ascii="Times New Roman" w:hAnsi="Times New Roman" w:eastAsia="仿宋_GB2312" w:cs="Times New Roman"/>
          <w:b w:val="0"/>
          <w:bCs/>
          <w:color w:val="000000" w:themeColor="text1"/>
          <w:kern w:val="2"/>
          <w:sz w:val="32"/>
          <w:szCs w:val="32"/>
          <w:highlight w:val="none"/>
          <w:u w:val="none"/>
          <w:lang w:val="zh-CN" w:eastAsia="zh-CN" w:bidi="ar-SA"/>
          <w14:textFill>
            <w14:solidFill>
              <w14:schemeClr w14:val="tx1"/>
            </w14:solidFill>
          </w14:textFill>
        </w:rPr>
        <w:t>重点围绕“一中心一特色”建设目标，</w:t>
      </w:r>
      <w:r>
        <w:rPr>
          <w:rFonts w:hint="eastAsia" w:ascii="Times New Roman" w:hAnsi="Times New Roman" w:eastAsia="仿宋_GB2312" w:cs="Times New Roman"/>
          <w:b w:val="0"/>
          <w:bCs/>
          <w:color w:val="000000" w:themeColor="text1"/>
          <w:kern w:val="2"/>
          <w:sz w:val="32"/>
          <w:szCs w:val="32"/>
          <w:highlight w:val="none"/>
          <w:u w:val="none"/>
          <w:lang w:val="zh-CN" w:eastAsia="zh-CN" w:bidi="ar-SA"/>
          <w14:textFill>
            <w14:solidFill>
              <w14:schemeClr w14:val="tx1"/>
            </w14:solidFill>
          </w14:textFill>
        </w:rPr>
        <w:t>基层医疗机构</w:t>
      </w:r>
      <w:r>
        <w:rPr>
          <w:rFonts w:hint="default" w:ascii="Times New Roman" w:hAnsi="Times New Roman" w:eastAsia="仿宋_GB2312" w:cs="Times New Roman"/>
          <w:b w:val="0"/>
          <w:bCs/>
          <w:color w:val="000000" w:themeColor="text1"/>
          <w:kern w:val="2"/>
          <w:sz w:val="32"/>
          <w:szCs w:val="32"/>
          <w:highlight w:val="none"/>
          <w:u w:val="none"/>
          <w:lang w:val="zh-CN" w:eastAsia="zh-CN" w:bidi="ar-SA"/>
          <w14:textFill>
            <w14:solidFill>
              <w14:schemeClr w14:val="tx1"/>
            </w14:solidFill>
          </w14:textFill>
        </w:rPr>
        <w:t>差异化发展老年病、儿科、中医、口腔、康复等特色专科，制定特色科室建设标准和服务清单，明确老年慢病综合管理、儿童生长发育监测、中医治未病、口腔预防保健、康复训练指导等重点服务项目。组建由全科医生、专科护士、公卫医师等组成的特色服务团队，通过“师带徒”方式培养基层专科服务骨干。拓展居家医疗服务，开展上门护理、康复指导、药物管理等服务。“十五五”期间，力争创建1家社区医院，在2-3家社区卫生服务机构开设口腔门诊</w:t>
      </w:r>
      <w:r>
        <w:rPr>
          <w:rFonts w:hint="eastAsia" w:ascii="Times New Roman" w:hAnsi="Times New Roman" w:eastAsia="仿宋_GB2312" w:cs="Times New Roman"/>
          <w:b w:val="0"/>
          <w:bCs/>
          <w:color w:val="000000" w:themeColor="text1"/>
          <w:kern w:val="2"/>
          <w:sz w:val="32"/>
          <w:szCs w:val="32"/>
          <w:highlight w:val="none"/>
          <w:u w:val="none"/>
          <w:lang w:val="zh-CN" w:eastAsia="zh-CN" w:bidi="ar-SA"/>
          <w14:textFill>
            <w14:solidFill>
              <w14:schemeClr w14:val="tx1"/>
            </w14:solidFill>
          </w14:textFill>
        </w:rPr>
        <w:t>。</w:t>
      </w:r>
    </w:p>
    <w:p w14:paraId="38038C5D">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楷体_GB2312" w:cs="Times New Roman"/>
          <w:b w:val="0"/>
          <w:bCs/>
          <w:color w:val="000000" w:themeColor="text1"/>
          <w:kern w:val="2"/>
          <w:sz w:val="32"/>
          <w:szCs w:val="32"/>
          <w:highlight w:val="none"/>
          <w:u w:val="none"/>
          <w:lang w:eastAsia="zh-CN" w:bidi="ar-SA"/>
          <w14:textFill>
            <w14:solidFill>
              <w14:schemeClr w14:val="tx1"/>
            </w14:solidFill>
          </w14:textFill>
        </w:rPr>
        <w:t>（五）</w:t>
      </w:r>
      <w:r>
        <w:rPr>
          <w:rFonts w:hint="default" w:ascii="Times New Roman" w:hAnsi="Times New Roman" w:eastAsia="楷体_GB2312" w:cs="Times New Roman"/>
          <w:b w:val="0"/>
          <w:bCs/>
          <w:color w:val="000000" w:themeColor="text1"/>
          <w:kern w:val="2"/>
          <w:sz w:val="32"/>
          <w:szCs w:val="32"/>
          <w:highlight w:val="none"/>
          <w:u w:val="none"/>
          <w:lang w:eastAsia="zh-CN" w:bidi="ar-SA"/>
          <w14:textFill>
            <w14:solidFill>
              <w14:schemeClr w14:val="tx1"/>
            </w14:solidFill>
          </w14:textFill>
        </w:rPr>
        <w:t>提升医疗质量与患者体验。</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健全基层医疗质量管理组织体系与制度规范，严格落实医疗质量安全核心制度，加强抗菌药物、激素等临床合理应用管</w:t>
      </w:r>
      <w:r>
        <w:rPr>
          <w:rFonts w:hint="default" w:ascii="Times New Roman" w:hAnsi="Times New Roman" w:eastAsia="楷体_GB2312" w:cs="Times New Roman"/>
          <w:b w:val="0"/>
          <w:bCs/>
          <w:color w:val="000000" w:themeColor="text1"/>
          <w:kern w:val="2"/>
          <w:sz w:val="32"/>
          <w:szCs w:val="32"/>
          <w:highlight w:val="none"/>
          <w:u w:val="none"/>
          <w:lang w:val="en-US" w:eastAsia="zh-CN" w:bidi="ar-SA"/>
          <w14:textFill>
            <w14:solidFill>
              <w14:schemeClr w14:val="tx1"/>
            </w14:solidFill>
          </w14:textFill>
        </w:rPr>
        <w:t>理</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建立风险防范与隐患排查整改长效机制。着力改善患者就医体验，优化服务流程，推广分时段预约诊疗，减少等候时间。推进“互联网+医疗健康”服务应用，提供在线咨询、预约、报告查询等便民服务。改善就医环境，完善无障碍与便民设施。建立患者满意度监测与反馈改进机制，加强医患沟通与健康科普，提升居民对基层医疗服务的信任度和利用度，实现医疗纠纷发生率持续下降与患者满意度稳步提升。</w:t>
      </w:r>
    </w:p>
    <w:p w14:paraId="05B95E85">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楷体_GB2312" w:cs="Times New Roman"/>
          <w:b w:val="0"/>
          <w:bCs w:val="0"/>
          <w:color w:val="000000" w:themeColor="text1"/>
          <w:kern w:val="2"/>
          <w:sz w:val="32"/>
          <w:szCs w:val="32"/>
          <w:highlight w:val="none"/>
          <w:u w:val="single"/>
          <w:lang w:val="zh-CN"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三</w:t>
      </w:r>
      <w:r>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、构建多元</w:t>
      </w:r>
      <w:r>
        <w:rPr>
          <w:rFonts w:hint="eastAsia"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互补的</w:t>
      </w:r>
      <w:r>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医疗服务供给格局。</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坚持基本医疗卫生事业公益属性，构建政府主导、市场调节、社会参与的多元化办医格局。综合运用自营、公办民营、购买服务、合作共建等方式，鼓励和规范社会力量参与医疗服务供给，重点投向康复、护理、安宁疗护、儿科、口腔等资源相对短缺领域，与公立医院形成功能互补、有序竞争、协同发展的良性格局。积极引导社会力量参与，选取2</w:t>
      </w: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3个社区卫生服务站开展社会化运营试点，探索“公办民营”“民办公助”等模式，推广社区嵌入式服务点、“医院包站”等协作形式，发展个性化、定制化的健康管理服务。通过新建、改建、功能转换等多种途径，持续优化“15分钟医疗服务圈”布局。“十五五”期间，推进基层医疗卫生机构设施设备建设，实施系统性能力提升改造，更新基础医疗设备，完善无障碍及便民服务设施，全面提升基层医疗服务的可及性、便利度和供给活力。</w:t>
      </w:r>
    </w:p>
    <w:p w14:paraId="7466F099">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四、创新医防融合与家庭医生签约服务模式</w:t>
      </w:r>
    </w:p>
    <w:p w14:paraId="054CF5D5">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32"/>
          <w:highlight w:val="none"/>
          <w:u w:val="none"/>
          <w:lang w:eastAsia="zh-CN" w:bidi="ar-SA"/>
          <w14:textFill>
            <w14:solidFill>
              <w14:schemeClr w14:val="tx1"/>
            </w14:solidFill>
          </w14:textFill>
        </w:rPr>
        <w:t>（一）做实做优家庭医生签约服务。</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强化家庭医生团队作为居民健康“守门人”的核心作用，深化其在基本医疗与公共卫生服务间的纽带功能。稳定扩大签约服务覆盖面，重点人群签约率保持在75%以上。优化团队构成，确保每个团队配备合格的全科医生、公共卫生医师及护理人员，建立高效分工协作机制。落实签约服务激励政策，明确将不低于70%的签约服务费用于家庭医生团队绩效分配。完善针对高血压、糖尿病等主要慢性病的“筛查-评估-干预-随访”全程管理规范，推动建立“筛查-诊断-治疗-康复-随访”全程健康管理链条，提升健康管理的精细化、个性化水平。</w:t>
      </w: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推进“互联网+签约”，促进形成长期稳定签约关系。符合条件的慢性病患者，基层医疗卫生机构单次可开具不超过12周用药的长期处方。</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到2030年，力争家庭医生签约服务覆盖率与内涵质量双提升，有效签约率达到60%以上，重点人群签约覆盖率巩固在85%以上。</w:t>
      </w:r>
    </w:p>
    <w:p w14:paraId="58B01162">
      <w:pPr>
        <w:pStyle w:val="3"/>
        <w:keepNext w:val="0"/>
        <w:keepLines w:val="0"/>
        <w:pageBreakBefore w:val="0"/>
        <w:widowControl w:val="0"/>
        <w:kinsoku/>
        <w:wordWrap/>
        <w:overflowPunct w:val="0"/>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32"/>
          <w:highlight w:val="none"/>
          <w:u w:val="none"/>
          <w:lang w:eastAsia="zh-CN" w:bidi="ar-SA"/>
          <w14:textFill>
            <w14:solidFill>
              <w14:schemeClr w14:val="tx1"/>
            </w14:solidFill>
          </w14:textFill>
        </w:rPr>
        <w:t>（二）深化医疗资源统筹与协同机制</w:t>
      </w:r>
      <w:r>
        <w:rPr>
          <w:rFonts w:hint="eastAsia" w:ascii="Times New Roman" w:hAnsi="Times New Roman" w:eastAsia="楷体_GB2312" w:cs="Times New Roman"/>
          <w:b w:val="0"/>
          <w:bCs/>
          <w:color w:val="000000" w:themeColor="text1"/>
          <w:kern w:val="2"/>
          <w:sz w:val="32"/>
          <w:szCs w:val="32"/>
          <w:highlight w:val="none"/>
          <w:u w:val="none"/>
          <w:lang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持续推动城市医疗集团优质资源下沉，确保每家社区卫生服务中心均有中级及以上职称医师常态化驻点或紧密对接</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，逐步实现二级及以上医院派驻主治医师及以上职称人员覆盖所有社区卫生服务中心。加快推进集团内检查检验、影像诊断等资源共享中心建设与高效运行。</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深化“基层检查、上级诊断”模式。健全与分级诊疗相衔接的基层药品供应保障机制，确保基本药物配备使用。建立资源动态调配机制，提升配置效率。到2026年，实现医疗集团内检查检验结果互认率达到85%以上；到2030年，基层医疗卫生机构药品配备种类较2025年增加5%</w:t>
      </w: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，基层医疗卫生机构诊疗人次占全区总诊疗人次的比例较“十四五”期末提升10个百分点以上。</w:t>
      </w:r>
    </w:p>
    <w:p w14:paraId="71F1F574">
      <w:pPr>
        <w:rPr>
          <w:rFonts w:hint="default"/>
          <w:highlight w:val="none"/>
          <w:lang w:val="en-US" w:eastAsia="zh-CN"/>
        </w:rPr>
      </w:pPr>
    </w:p>
    <w:tbl>
      <w:tblPr>
        <w:tblStyle w:val="14"/>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8"/>
      </w:tblGrid>
      <w:tr w14:paraId="246C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848F2AF">
            <w:pPr>
              <w:keepNext w:val="0"/>
              <w:keepLines w:val="0"/>
              <w:pageBreakBefore w:val="0"/>
              <w:widowControl w:val="0"/>
              <w:kinsoku/>
              <w:wordWrap/>
              <w:overflowPunct w:val="0"/>
              <w:topLinePunct w:val="0"/>
              <w:autoSpaceDE/>
              <w:autoSpaceDN/>
              <w:bidi w:val="0"/>
              <w:adjustRightInd/>
              <w:snapToGrid w:val="0"/>
              <w:spacing w:line="460" w:lineRule="exact"/>
              <w:jc w:val="center"/>
              <w:textAlignment w:val="auto"/>
              <w:rPr>
                <w:rFonts w:hint="default" w:ascii="Times New Roman" w:hAnsi="Times New Roman" w:eastAsia="仿宋_GB2312" w:cs="Times New Roman"/>
                <w:b/>
                <w:bCs/>
                <w:color w:val="000000" w:themeColor="text1"/>
                <w:kern w:val="0"/>
                <w:sz w:val="28"/>
                <w:szCs w:val="28"/>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28"/>
                <w:szCs w:val="28"/>
                <w:highlight w:val="none"/>
                <w14:textFill>
                  <w14:solidFill>
                    <w14:schemeClr w14:val="tx1"/>
                  </w14:solidFill>
                </w14:textFill>
              </w:rPr>
              <w:t>重点项目1</w:t>
            </w:r>
          </w:p>
          <w:p w14:paraId="03C77AAC">
            <w:pPr>
              <w:keepNext w:val="0"/>
              <w:keepLines w:val="0"/>
              <w:pageBreakBefore w:val="0"/>
              <w:widowControl w:val="0"/>
              <w:kinsoku/>
              <w:wordWrap/>
              <w:overflowPunct w:val="0"/>
              <w:topLinePunct w:val="0"/>
              <w:autoSpaceDE/>
              <w:autoSpaceDN/>
              <w:bidi w:val="0"/>
              <w:adjustRightInd/>
              <w:snapToGrid w:val="0"/>
              <w:spacing w:line="460" w:lineRule="exact"/>
              <w:ind w:firstLine="482" w:firstLineChars="200"/>
              <w:textAlignment w:val="auto"/>
              <w:rPr>
                <w:rFonts w:hint="eastAsia" w:ascii="Times New Roman" w:hAnsi="Times New Roman" w:eastAsia="仿宋_GB2312" w:cs="Times New Roman"/>
                <w:b/>
                <w:bCs/>
                <w:color w:val="000000" w:themeColor="text1"/>
                <w:kern w:val="44"/>
                <w:sz w:val="24"/>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44"/>
                <w:sz w:val="24"/>
                <w:highlight w:val="none"/>
                <w:lang w:val="en-US" w:eastAsia="zh-CN"/>
                <w14:textFill>
                  <w14:solidFill>
                    <w14:schemeClr w14:val="tx1"/>
                  </w14:solidFill>
                </w14:textFill>
              </w:rPr>
              <w:t>克拉玛依区老旧小区、街区改造项目（十期）建设项目：</w:t>
            </w:r>
            <w:r>
              <w:rPr>
                <w:rFonts w:hint="eastAsia" w:ascii="Times New Roman" w:hAnsi="Times New Roman" w:eastAsia="仿宋_GB2312" w:cs="Times New Roman"/>
                <w:b w:val="0"/>
                <w:bCs w:val="0"/>
                <w:color w:val="000000" w:themeColor="text1"/>
                <w:kern w:val="44"/>
                <w:sz w:val="24"/>
                <w:highlight w:val="none"/>
                <w:lang w:val="en-US" w:eastAsia="zh-CN"/>
                <w14:textFill>
                  <w14:solidFill>
                    <w14:schemeClr w14:val="tx1"/>
                  </w14:solidFill>
                </w14:textFill>
              </w:rPr>
              <w:t>对辖区内银河路、胜利路、天山路、迎宾路、昆仑路等街道的9个社区卫生服务中心（站）实施室内外修缮及供热、供水、排水、电气、消防等管线系统全面更新改造，开展更换扶手、重铺防滑地砖、增设无障碍盲道等适老化改造，改造总面积16600平方米。规划建设古海、通讯、幸福3个嵌入式社区卫生服务站，补齐老旧小区及服务盲区的基层医疗网点短板，提升“15分钟医疗服务圈”覆盖密度与设施安全水平。</w:t>
            </w:r>
          </w:p>
          <w:p w14:paraId="58FED920">
            <w:pPr>
              <w:keepNext w:val="0"/>
              <w:keepLines w:val="0"/>
              <w:pageBreakBefore w:val="0"/>
              <w:widowControl w:val="0"/>
              <w:kinsoku/>
              <w:wordWrap/>
              <w:overflowPunct w:val="0"/>
              <w:topLinePunct w:val="0"/>
              <w:autoSpaceDE/>
              <w:autoSpaceDN/>
              <w:bidi w:val="0"/>
              <w:adjustRightInd/>
              <w:snapToGrid w:val="0"/>
              <w:spacing w:line="460" w:lineRule="exact"/>
              <w:jc w:val="center"/>
              <w:textAlignment w:val="auto"/>
              <w:rPr>
                <w:rFonts w:hint="eastAsia" w:ascii="Times New Roman" w:hAnsi="Times New Roman" w:eastAsia="仿宋_GB2312" w:cs="Times New Roman"/>
                <w:b/>
                <w:bCs/>
                <w:color w:val="000000" w:themeColor="text1"/>
                <w:kern w:val="0"/>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28"/>
                <w:szCs w:val="28"/>
                <w:highlight w:val="none"/>
                <w14:textFill>
                  <w14:solidFill>
                    <w14:schemeClr w14:val="tx1"/>
                  </w14:solidFill>
                </w14:textFill>
              </w:rPr>
              <w:t>重点项目</w:t>
            </w:r>
            <w:r>
              <w:rPr>
                <w:rFonts w:hint="eastAsia" w:ascii="Times New Roman" w:hAnsi="Times New Roman" w:eastAsia="仿宋_GB2312" w:cs="Times New Roman"/>
                <w:b/>
                <w:bCs/>
                <w:color w:val="000000" w:themeColor="text1"/>
                <w:kern w:val="0"/>
                <w:sz w:val="28"/>
                <w:szCs w:val="28"/>
                <w:highlight w:val="none"/>
                <w:lang w:val="en-US" w:eastAsia="zh-CN"/>
                <w14:textFill>
                  <w14:solidFill>
                    <w14:schemeClr w14:val="tx1"/>
                  </w14:solidFill>
                </w14:textFill>
              </w:rPr>
              <w:t>2</w:t>
            </w:r>
          </w:p>
          <w:p w14:paraId="154A7BBB">
            <w:pPr>
              <w:keepNext w:val="0"/>
              <w:keepLines w:val="0"/>
              <w:pageBreakBefore w:val="0"/>
              <w:widowControl w:val="0"/>
              <w:kinsoku/>
              <w:wordWrap/>
              <w:overflowPunct w:val="0"/>
              <w:topLinePunct w:val="0"/>
              <w:autoSpaceDE/>
              <w:autoSpaceDN/>
              <w:bidi w:val="0"/>
              <w:adjustRightInd/>
              <w:snapToGrid w:val="0"/>
              <w:spacing w:line="460" w:lineRule="exact"/>
              <w:ind w:firstLine="482" w:firstLineChars="200"/>
              <w:textAlignment w:val="auto"/>
              <w:rPr>
                <w:rFonts w:hint="eastAsia" w:ascii="Times New Roman" w:hAnsi="Times New Roman" w:eastAsia="仿宋_GB2312" w:cs="Times New Roman"/>
                <w:b w:val="0"/>
                <w:bCs w:val="0"/>
                <w:color w:val="000000" w:themeColor="text1"/>
                <w:kern w:val="44"/>
                <w:sz w:val="24"/>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44"/>
                <w:sz w:val="24"/>
                <w:highlight w:val="none"/>
                <w:lang w:val="en-US" w:eastAsia="zh-CN"/>
                <w14:textFill>
                  <w14:solidFill>
                    <w14:schemeClr w14:val="tx1"/>
                  </w14:solidFill>
                </w14:textFill>
              </w:rPr>
              <w:t>克拉玛依市克拉玛依区基层医疗机构设备更新换代项目：</w:t>
            </w:r>
            <w:r>
              <w:rPr>
                <w:rFonts w:hint="eastAsia" w:ascii="Times New Roman" w:hAnsi="Times New Roman" w:eastAsia="仿宋_GB2312" w:cs="Times New Roman"/>
                <w:b w:val="0"/>
                <w:bCs w:val="0"/>
                <w:color w:val="000000" w:themeColor="text1"/>
                <w:kern w:val="44"/>
                <w:sz w:val="24"/>
                <w:highlight w:val="none"/>
                <w:lang w:val="en-US" w:eastAsia="zh-CN"/>
                <w14:textFill>
                  <w14:solidFill>
                    <w14:schemeClr w14:val="tx1"/>
                  </w14:solidFill>
                </w14:textFill>
              </w:rPr>
              <w:t>面向辖区内社区卫生服务中心（站），更新换代医疗设备共计134台（套），主要包括彩色多普勒超声诊断仪、数字化X线摄影设备（DR）、除颤监护仪、标准化药品架等关键诊疗及急救设备。通过设备迭代升级，重点提升基层影像诊断能力、急症处置效率及药品管理规范化水平，全面增强基层医疗服务硬实力。</w:t>
            </w:r>
          </w:p>
        </w:tc>
      </w:tr>
    </w:tbl>
    <w:p w14:paraId="306DB59B">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jc w:val="both"/>
        <w:textAlignment w:val="auto"/>
        <w:rPr>
          <w:rFonts w:hint="eastAsia" w:ascii="Times New Roman" w:hAnsi="Times New Roman" w:eastAsia="黑体" w:cs="Times New Roman"/>
          <w:b w:val="0"/>
          <w:bCs/>
          <w:color w:val="000000" w:themeColor="text1"/>
          <w:kern w:val="2"/>
          <w:sz w:val="32"/>
          <w:szCs w:val="32"/>
          <w:highlight w:val="none"/>
          <w:u w:val="none"/>
          <w:lang w:val="en-US" w:eastAsia="zh-CN" w:bidi="ar-SA"/>
          <w14:textFill>
            <w14:solidFill>
              <w14:schemeClr w14:val="tx1"/>
            </w14:solidFill>
          </w14:textFill>
        </w:rPr>
      </w:pPr>
      <w:r>
        <w:rPr>
          <w:rFonts w:hint="eastAsia" w:ascii="Times New Roman" w:hAnsi="Times New Roman" w:eastAsia="黑体" w:cs="Times New Roman"/>
          <w:b w:val="0"/>
          <w:bCs/>
          <w:color w:val="000000" w:themeColor="text1"/>
          <w:kern w:val="2"/>
          <w:sz w:val="32"/>
          <w:szCs w:val="32"/>
          <w:highlight w:val="none"/>
          <w:u w:val="none"/>
          <w:lang w:val="en-US" w:eastAsia="zh-CN" w:bidi="ar-SA"/>
          <w14:textFill>
            <w14:solidFill>
              <w14:schemeClr w14:val="tx1"/>
            </w14:solidFill>
          </w14:textFill>
        </w:rPr>
        <w:t>第三节 加强公共卫生体系建设，提升疾病防控能力</w:t>
      </w:r>
    </w:p>
    <w:p w14:paraId="1DAA1F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坚持预防为主的方针，构建“强大稳固、反应灵敏、协同高效”的现代化公共卫生体系，坚决守住公共卫生安全底线。</w:t>
      </w:r>
    </w:p>
    <w:p w14:paraId="4D16A0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16"/>
          <w:rFonts w:hint="eastAsia" w:ascii="黑体" w:hAnsi="黑体" w:eastAsia="黑体" w:cs="黑体"/>
          <w:b w:val="0"/>
          <w:bCs w:val="0"/>
          <w:i w:val="0"/>
          <w:iCs w:val="0"/>
          <w:caps w:val="0"/>
          <w:color w:val="000000" w:themeColor="text1"/>
          <w:spacing w:val="0"/>
          <w:sz w:val="32"/>
          <w:szCs w:val="32"/>
          <w:highlight w:val="none"/>
          <w:shd w:val="clear" w:fill="FFFFFF"/>
          <w14:textFill>
            <w14:solidFill>
              <w14:schemeClr w14:val="tx1"/>
            </w14:solidFill>
          </w14:textFill>
        </w:rPr>
      </w:pPr>
      <w:r>
        <w:rPr>
          <w:rStyle w:val="16"/>
          <w:rFonts w:hint="eastAsia" w:ascii="黑体" w:hAnsi="黑体" w:eastAsia="黑体" w:cs="黑体"/>
          <w:b w:val="0"/>
          <w:bCs w:val="0"/>
          <w:i w:val="0"/>
          <w:iCs w:val="0"/>
          <w:caps w:val="0"/>
          <w:color w:val="000000" w:themeColor="text1"/>
          <w:spacing w:val="0"/>
          <w:sz w:val="32"/>
          <w:szCs w:val="32"/>
          <w:highlight w:val="none"/>
          <w:shd w:val="clear" w:fill="FFFFFF"/>
          <w14:textFill>
            <w14:solidFill>
              <w14:schemeClr w14:val="tx1"/>
            </w14:solidFill>
          </w14:textFill>
        </w:rPr>
        <w:t>一、推动构建一体化的三级公共卫生工作网络</w:t>
      </w:r>
    </w:p>
    <w:p w14:paraId="62A5D4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以“健全一体化三级防控体系”为核心抓手，聚焦夯实基层服务阵地、强化专业队伍建设、完善应急处置机制、优化健康服务供给、健全协同联动格局五大重点任务，落实政策支撑、经费投入、人才培养三项保障措施，系统构建区、街道（乡）、社区（村）三级公共卫生体系，全面提升公共卫生服务能力，筑牢区域公共卫生安全防线。区级层面完善联席会议制度，强化顶层设计与统筹协调，健全联防联控机制，提升综合防控与应急队伍能力；街道（乡）层面搭建联动平台，衔接区级资源与社区服务，做好辖区公共卫生工作组织实施与统筹推进；社区层面深化社区（村）公共卫生委员会建设，完善网格化基层疾控网络，健全群防群治机制，精准落实科普宣传、重点人群管理等基础工作。全面推动三级体系分层施策、同向发力，补齐公共卫生服务短板，提升服务精准度与实效性，构建覆盖全民、权责清晰、运转高效的公共卫生体系，切实保障辖区群众生命健康安全。</w:t>
      </w:r>
    </w:p>
    <w:p w14:paraId="497DC2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二、构建紧密协同、高效响应的现代化疾控体系</w:t>
      </w:r>
    </w:p>
    <w:p w14:paraId="263D93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）提升疾控机构专业能力。</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全面推进国家传染病智能监测预警前置软件的全面部署与应用，实现辖区内二级及以上医疗机构、基层医疗机构前置软件集成部署100%覆盖，提升监测预警能力。规划建设集教学培训、模拟实训、案例分析功能于一体的市级公共卫生实训基地，推进专业化培训与人才评价体系建设。加快区级实验室标准化建设，完善危化品库、原子荧光室、气相室等专业实验室设施配备，提升对呼吸道、肠道等多病原体的应急检测与快速鉴别能力，“十五五”末期实现实验室具备生活饮用水水质43项常规指标的检测能力，为突发公共卫生事件快速检测与应急响应提供技术支撑。</w:t>
      </w:r>
    </w:p>
    <w:p w14:paraId="3D724D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）强化医疗机构公共卫生责任。</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制定并动态完善《医疗机构公共卫生责任清单》，推动5家社区卫生服务中心100%设置公共卫生科，配备专职公共卫生人员，实现基层公共卫生科室全覆盖和规范化运行。扩大医疗机构疾控监督员制度试点工作，覆盖辖区20余家一级医疗机构及基层医疗机构，建立健全疾控监督员选派、培训、考核及保障等长效管理制度，落实传染病疫情报告、突发公共卫生事件信息报送、感染控制等核心责任，全面提升医疗机构传染病发现、报告和处置能力。</w:t>
      </w:r>
    </w:p>
    <w:p w14:paraId="4E417E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）健全医防协同机制。</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推进医疗机构与疾控机构深度协作，建立人员、信息共享、业务协同的工作机制。构建以疾控机构和各类专科疾病防治机构为骨干、医疗机构为依托、基层医疗卫生机构为网底的疾控体系，将疾控中心纳入城市医疗集团，技术指导职能全面融入城市医疗集团运行体系。推动疾控机构与医疗机构建立传染病防控工作联席会议会商机制，共享传染病流行信息，定期研判院内临床异常病例报告以及传染病等突发公共卫生事件发生发展风险，研究制定应对策略。推动成立由疾控机构、综合医院、基层医疗卫生机构组成传染病防控处置队伍，加强医疗机构和疾控机构在流行病学调查、传染源及风险人群管控等疫情应对处置中的协作配合。</w:t>
      </w:r>
    </w:p>
    <w:p w14:paraId="1E8AF4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三、强化公共卫生应急管理</w:t>
      </w:r>
      <w:r>
        <w:rPr>
          <w:rFonts w:hint="eastAsia"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体系</w:t>
      </w:r>
    </w:p>
    <w:p w14:paraId="4BEC0A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（一）完善公共卫生应急管理机制。</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修订《突发公共卫生事件应急处置预案》，优化统一指挥体系，推进物资保障体系建设，构建协调统一、平战结合、权责匹配、上下联动、权威高效的应急管理格局。制定并动态完善诺如、水痘、结核等6项常见传染病专项预案，完善不同类型、不同级别、不同规模事件的监测、预警、报告、救治、管控等应对处置方案，健全公共卫生应急培训、应急演练、应急征用机制，充分考虑大型体育场馆、酒店宾馆等公共设施应急情况下的改建需求，推进物资强化应急状态下辖区动员响应、区域联动和人员调集能力，提升突发公共卫生事件应急处置能力和效率。</w:t>
      </w:r>
    </w:p>
    <w:p w14:paraId="1C80C5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（二）建立公共卫生会商机制。</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发挥中心城区资源集聚优势，健全“卫生统筹、部门联动、多方参与”的常态化会商体系，定期联合市级部门及区级成员单位聚焦重大疾病防控、季节性传染病流行态势、突发公共卫生事件隐患等重点内容，开展多维度风险研判，会商制定精准防控策略和应急处置措施，科学输出风险评估报告及分级预警建议，持续提升风险早期识别、快速预警和应急处突能力。建立预案动态修订机制，每年结合会商研判结果、上级政策调整及辖区防控实际，组织开展《突发公共卫生事件应急预案》及重点传染病专项预案的修订完善工作，优化应急响应流程、物资储备清单、人员调配方案，确保预案更具针对性、科学性和可操作性。</w:t>
      </w:r>
    </w:p>
    <w:p w14:paraId="6A076F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（三）打造专业化应急处置队伍。</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立足“1+6”组织架构，聚焦突发公共卫生事件处置需求，整合辖区综合医院、基层医疗机构及社会办医疗机构等优质资源，统筹组建1支专业覆盖全面、协同高效的区级公共卫生应急救治与处置队伍，配备标准化应急处置装备与移动检测平台。建立健全队伍24小时快速响应与调动机制。通过制定分层分类培训计划，常态化开展流行病学调查、消毒消杀、医疗救治及个人防护等技能实训，定期组织多场景、实战化的应急演练，系统推进公共卫生应急队伍的专业化、规范化建设，全面提升区域突发公共卫生事件综合应对能力。</w:t>
      </w:r>
    </w:p>
    <w:p w14:paraId="3D3956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kern w:val="2"/>
          <w:sz w:val="32"/>
          <w:szCs w:val="32"/>
          <w:highlight w:val="none"/>
          <w:u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u w:val="none"/>
          <w:lang w:val="en-US" w:eastAsia="zh-CN" w:bidi="ar-SA"/>
          <w14:textFill>
            <w14:solidFill>
              <w14:schemeClr w14:val="tx1"/>
            </w14:solidFill>
          </w14:textFill>
        </w:rPr>
        <w:t>四、加强重点疾病与健康领域防控促进</w:t>
      </w:r>
    </w:p>
    <w:p w14:paraId="3E159C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（一）持续巩固慢性病防控示范区成果。</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常态化巩固国家慢性病综合防控示范区创建成果，结合示范区健康街区建设，打造健康生活方式体验街区，倡导推广健康餐厅，开展健康生活方式指导员“五进”活动，定期举办健康烹饪比赛、趣味运动挑战赛等健康主题活动，普及“三减三健”核心知识，鼓励居民践行健康生活方式。深入开展“体重管理年”活动，引导和激励广大群众积极参与体重管理，探索实施中医药适宜技术干预儿童青少年肥胖，推广“健康企业”建设经验，改善学生、职业人群异常健康状况，实现成年人、儿童青少年超重率和肥胖率年均增幅在2019</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2023年基线基础上总体下降10%的目标。</w:t>
      </w:r>
    </w:p>
    <w:p w14:paraId="52AD7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（二）深化健康副校（园）长制度落实。</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建立卫健、教育部门协同机制，聚焦医教协同提质增效，构建校园健康治理新格局，制定《“健康副校（园）长”工作清单》，细化疾病防控、健康宣教、卫生监督等核心职责，健全岗前培训与年度轮训体系，强化传染病防控、心理健康、常见病干预等专业能力。结合实际优化完善“健康副校（园）长”的选拔、任用和考核制度，完善动态考核与激励制度，保障履职实效。创新服务模式，推广标准化健康课件，开展精准科普与干预，实现青少年肥胖率、中小学生视力不良发生率等关键健康危险因素指标每年下降。</w:t>
      </w:r>
    </w:p>
    <w:p w14:paraId="2B551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（三）推进免疫规划与重点传染病防治。</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紧跟国家政策导向，强化科普宣传引导，全力推进HPV疫苗纳入国家免疫规划落地实施，持续保持国家免疫规划接种率在95%以上。以申报国家预防接种服务规范化建设与能力提升项目为重要契机，依托优质资源，高标准建设市级预防接种示范示教培训基地，发挥示范引领与人才培育作用。</w:t>
      </w:r>
      <w:bookmarkStart w:id="11" w:name="OLE_LINK1"/>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巩固“三位一体”结核病工作模式，创新推进新疆第二医学院大学生志愿服务活动，加强与社会组织的协同合作，激发艾滋病防治活力，精准开展重点人群干预，确保结核病、艾滋病持续保持低水平流行。</w:t>
      </w:r>
    </w:p>
    <w:p w14:paraId="4F80B1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u w:val="none"/>
          <w:lang w:val="en-US" w:eastAsia="zh-CN" w:bidi="ar-SA"/>
          <w14:textFill>
            <w14:solidFill>
              <w14:schemeClr w14:val="tx1"/>
            </w14:solidFill>
          </w14:textFill>
        </w:rPr>
        <w:t>（四）完善心理健康和精神卫生服务体系。</w:t>
      </w: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强化基层医疗机构心理健康与精神卫生科室标准化建设</w:t>
      </w:r>
      <w:r>
        <w:rPr>
          <w:rFonts w:hint="eastAsia"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en-US" w:eastAsia="zh-CN" w:bidi="ar-SA"/>
          <w14:textFill>
            <w14:solidFill>
              <w14:schemeClr w14:val="tx1"/>
            </w14:solidFill>
          </w14:textFill>
        </w:rPr>
        <w:t>建立以市中西医结合医院精神卫生学科优势及专业人才资源为支撑，通过“招录精神类专业医师+培育本土现有医师”双向发力壮大精神类人才队伍。常态化开展精神类专家下沉坐诊、技术指导等服务，推动社区卫生服务机构全面具备心理健康筛查、情绪疏导、基础精神卫生干预</w:t>
      </w:r>
      <w:r>
        <w:rPr>
          <w:rFonts w:hint="default" w:ascii="Times New Roman" w:hAnsi="Times New Roman" w:eastAsia="仿宋_GB2312" w:cs="Times New Roman"/>
          <w:b w:val="0"/>
          <w:bCs w:val="0"/>
          <w:strike w:val="0"/>
          <w:dstrike w:val="0"/>
          <w:color w:val="000000" w:themeColor="text1"/>
          <w:kern w:val="2"/>
          <w:sz w:val="32"/>
          <w:szCs w:val="32"/>
          <w:highlight w:val="none"/>
          <w:u w:val="none"/>
          <w:lang w:val="en-US" w:eastAsia="zh-CN" w:bidi="ar-SA"/>
          <w14:textFill>
            <w14:solidFill>
              <w14:schemeClr w14:val="tx1"/>
            </w14:solidFill>
          </w14:textFill>
        </w:rPr>
        <w:t>等综合能力，构建“市级专家支撑、社区阵地承接、群众就近受益”的全链条心理健康服务体系。</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加强心理危机干预与援助，建强干预队伍，推进心理援助热线服务。聚焦群众需求，普及实用心理健康知识，常态化开展社区讲座、线上推送、重点人群宣教等活动，推动科普进社区、进家庭、进学校。统筹开发本土科普素材，依托新媒体和社区宣传栏等载体广泛传播，营造全社会关注、支持心理健康的良好氛围。</w:t>
      </w:r>
    </w:p>
    <w:p w14:paraId="5619D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u w:val="single"/>
          <w:lang w:val="en-US" w:eastAsia="zh-CN" w:bidi="ar-SA"/>
          <w14:textFill>
            <w14:solidFill>
              <w14:schemeClr w14:val="tx1"/>
            </w14:solidFill>
          </w14:textFill>
        </w:rPr>
      </w:pPr>
    </w:p>
    <w:bookmarkEnd w:id="11"/>
    <w:tbl>
      <w:tblPr>
        <w:tblStyle w:val="14"/>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9"/>
      </w:tblGrid>
      <w:tr w14:paraId="1127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04AF2CD">
            <w:pPr>
              <w:overflowPunct w:val="0"/>
              <w:snapToGrid w:val="0"/>
              <w:spacing w:line="460" w:lineRule="exact"/>
              <w:jc w:val="center"/>
              <w:rPr>
                <w:rFonts w:hint="eastAsia" w:ascii="Times New Roman" w:hAnsi="Times New Roman" w:eastAsia="仿宋_GB2312" w:cs="Times New Roman"/>
                <w:b/>
                <w:bCs/>
                <w:color w:val="000000" w:themeColor="text1"/>
                <w:kern w:val="0"/>
                <w:sz w:val="28"/>
                <w:szCs w:val="28"/>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kern w:val="0"/>
                <w:sz w:val="28"/>
                <w:szCs w:val="28"/>
                <w:highlight w:val="none"/>
                <w14:textFill>
                  <w14:solidFill>
                    <w14:schemeClr w14:val="tx1"/>
                  </w14:solidFill>
                </w14:textFill>
              </w:rPr>
              <w:t>重点项目</w:t>
            </w:r>
            <w:r>
              <w:rPr>
                <w:rFonts w:hint="eastAsia" w:ascii="Times New Roman" w:hAnsi="Times New Roman" w:eastAsia="仿宋_GB2312" w:cs="Times New Roman"/>
                <w:b/>
                <w:bCs/>
                <w:color w:val="000000" w:themeColor="text1"/>
                <w:kern w:val="0"/>
                <w:sz w:val="28"/>
                <w:szCs w:val="28"/>
                <w:highlight w:val="none"/>
                <w:lang w:val="en-US" w:eastAsia="zh-CN"/>
                <w14:textFill>
                  <w14:solidFill>
                    <w14:schemeClr w14:val="tx1"/>
                  </w14:solidFill>
                </w14:textFill>
              </w:rPr>
              <w:t>3</w:t>
            </w:r>
          </w:p>
          <w:p w14:paraId="5D924873">
            <w:pPr>
              <w:overflowPunct w:val="0"/>
              <w:snapToGrid w:val="0"/>
              <w:spacing w:line="460" w:lineRule="exact"/>
              <w:ind w:firstLine="482" w:firstLineChars="200"/>
              <w:rPr>
                <w:rFonts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24"/>
                <w:szCs w:val="24"/>
                <w:highlight w:val="none"/>
                <w14:textFill>
                  <w14:solidFill>
                    <w14:schemeClr w14:val="tx1"/>
                  </w14:solidFill>
                </w14:textFill>
              </w:rPr>
              <w:t>克拉玛依市克拉玛依区卫生应急物资储备中心建设项目</w:t>
            </w:r>
            <w:r>
              <w:rPr>
                <w:rFonts w:hint="eastAsia" w:ascii="Times New Roman" w:hAnsi="Times New Roman" w:eastAsia="仿宋_GB2312" w:cs="Times New Roman"/>
                <w:b/>
                <w:bCs/>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kern w:val="0"/>
                <w:sz w:val="24"/>
                <w:szCs w:val="24"/>
                <w:highlight w:val="none"/>
                <w:lang w:eastAsia="zh-CN"/>
                <w14:textFill>
                  <w14:solidFill>
                    <w14:schemeClr w14:val="tx1"/>
                  </w14:solidFill>
                </w14:textFill>
              </w:rPr>
              <w:t>对现有建筑单体进行改造，建成一座建筑面积1500—3000平方米的标准化医疗卫生应急物资储备库，配备双电源、双水源及基础消防设施，实现医疗应急物资的集中存储、统一调度与快速调配，全面提升区域突发公共卫生事件应急保障能力。</w:t>
            </w:r>
          </w:p>
        </w:tc>
      </w:tr>
    </w:tbl>
    <w:p w14:paraId="7B480167">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第</w:t>
      </w:r>
      <w:r>
        <w:rPr>
          <w:rFonts w:hint="eastAsia" w:ascii="Times New Roman" w:hAnsi="Times New Roman" w:eastAsia="黑体" w:cs="Times New Roman"/>
          <w:b w:val="0"/>
          <w:bCs/>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节</w:t>
      </w:r>
      <w:r>
        <w:rPr>
          <w:rFonts w:hint="eastAsia" w:ascii="Times New Roman" w:hAnsi="Times New Roman" w:eastAsia="黑体" w:cs="Times New Roman"/>
          <w:b w:val="0"/>
          <w:bCs/>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健全全生命周期健康服务链，保障重点人群健康</w:t>
      </w:r>
    </w:p>
    <w:p w14:paraId="526E26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聚焦“一老一小”、妇女等重点人群全生命周期的健康需求，构建覆盖婚前、孕产、儿童、青少年、成年至老年各阶段的连续、综合、优质的健康服务链条，强化重点疾病防治和健康保障，提升全民健康水平。</w:t>
      </w:r>
    </w:p>
    <w:p w14:paraId="7E6132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themeColor="text1"/>
          <w:kern w:val="2"/>
          <w:sz w:val="32"/>
          <w:szCs w:val="32"/>
          <w:highlight w:val="none"/>
          <w:lang w:val="zh-CN" w:eastAsia="zh-CN" w:bidi="ar-SA"/>
          <w14:textFill>
            <w14:solidFill>
              <w14:schemeClr w14:val="tx1"/>
            </w14:solidFill>
          </w14:textFill>
        </w:rPr>
      </w:pPr>
      <w:r>
        <w:rPr>
          <w:rFonts w:hint="eastAsia" w:ascii="黑体" w:hAnsi="黑体" w:eastAsia="黑体" w:cs="黑体"/>
          <w:b w:val="0"/>
          <w:bCs/>
          <w:color w:val="000000" w:themeColor="text1"/>
          <w:kern w:val="2"/>
          <w:sz w:val="32"/>
          <w:szCs w:val="32"/>
          <w:highlight w:val="none"/>
          <w:lang w:val="zh-CN" w:eastAsia="zh-CN" w:bidi="ar-SA"/>
          <w14:textFill>
            <w14:solidFill>
              <w14:schemeClr w14:val="tx1"/>
            </w14:solidFill>
          </w14:textFill>
        </w:rPr>
        <w:t>一、加强妇幼健康服务体系与能力建设。</w:t>
      </w:r>
    </w:p>
    <w:p w14:paraId="6EF8D7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color w:val="000000" w:themeColor="text1"/>
          <w:kern w:val="2"/>
          <w:sz w:val="32"/>
          <w:szCs w:val="32"/>
          <w:highlight w:val="none"/>
          <w:lang w:val="zh-CN" w:eastAsia="zh-CN" w:bidi="ar-SA"/>
          <w14:textFill>
            <w14:solidFill>
              <w14:schemeClr w14:val="tx1"/>
            </w14:solidFill>
          </w14:textFill>
        </w:rPr>
        <w:t>（一）</w:t>
      </w: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优化妇幼健康服务</w:t>
      </w:r>
      <w:r>
        <w:rPr>
          <w:rFonts w:hint="eastAsia"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网络。</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统筹全区妇幼保健服务资源，加快构建形成“以三级医院为技术支撑与危急重症救治中心，以区妇幼保健中心为业务骨干，以社区卫生服务中心为基层服务网底”的上下联动、分工协作的服务网络。向上对接，引进专家团队、培养学科带头人；向下延伸，将服务网络覆盖至所有社区卫生服务中心和公立托育机构。推进“医、防、护”一体化的儿童健康管理中心建设，整合儿童保健、疾病诊疗、预防接种和养育照护等资源，提供一站式服务。</w:t>
      </w:r>
    </w:p>
    <w:p w14:paraId="59A0A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楷体_GB2312" w:hAnsi="楷体_GB2312" w:eastAsia="楷体_GB2312" w:cs="楷体_GB2312"/>
          <w:b w:val="0"/>
          <w:bCs/>
          <w:color w:val="000000" w:themeColor="text1"/>
          <w:kern w:val="2"/>
          <w:sz w:val="32"/>
          <w:szCs w:val="32"/>
          <w:highlight w:val="none"/>
          <w:lang w:val="zh-CN" w:eastAsia="zh-CN" w:bidi="ar-SA"/>
          <w14:textFill>
            <w14:solidFill>
              <w14:schemeClr w14:val="tx1"/>
            </w14:solidFill>
          </w14:textFill>
        </w:rPr>
        <w:t>（二）完善覆盖全生命周期的连续服务链条</w:t>
      </w:r>
      <w:r>
        <w:rPr>
          <w:rFonts w:hint="default" w:ascii="Times New Roman" w:hAnsi="Times New Roman" w:eastAsia="仿宋_GB2312" w:cs="Times New Roman"/>
          <w:b w:val="0"/>
          <w:bCs/>
          <w:color w:val="000000" w:themeColor="text1"/>
          <w:kern w:val="2"/>
          <w:sz w:val="32"/>
          <w:szCs w:val="32"/>
          <w:highlight w:val="none"/>
          <w:lang w:val="zh-CN"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建立健全覆盖婚前、孕前、孕期、产时、产后和儿童期的连续、综合服务体系。重点提升基层医疗卫生机构对高危孕产妇的早期识别、精准转诊及专案管理能力，完善“发现-报告-转诊-随访”的闭环管理机制，实现高危孕产妇零死亡目标。建立市、区妇幼保健机构、基层医疗卫生机构高危儿童动态随访与科学干预的三级联动管理网络。完善出生缺陷筛查、诊断、治疗、康复服务链条，加强儿童青少年肥胖、近视、心理行为异常、脊柱弯曲异常、龋齿等防治。规范开展0-6岁儿童孤独症筛查、诊断和干预康复服务，形成“筛查-诊断-干预-康复”的全流程服务模式。“十五五”末，新生儿遗传代谢病筛查率达到99%以上，0-6岁儿童孤独症初筛率达到80%以上。</w:t>
      </w:r>
    </w:p>
    <w:p w14:paraId="6AFD98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color w:val="000000" w:themeColor="text1"/>
          <w:kern w:val="2"/>
          <w:sz w:val="32"/>
          <w:szCs w:val="32"/>
          <w:highlight w:val="none"/>
          <w:lang w:val="zh-CN" w:eastAsia="zh-CN" w:bidi="ar-SA"/>
          <w14:textFill>
            <w14:solidFill>
              <w14:schemeClr w14:val="tx1"/>
            </w14:solidFill>
          </w14:textFill>
        </w:rPr>
        <w:t>（三）提升危急重症救治与服务供给质量。</w:t>
      </w:r>
      <w:r>
        <w:rPr>
          <w:rFonts w:hint="default" w:ascii="Times New Roman" w:hAnsi="Times New Roman" w:eastAsia="仿宋_GB2312" w:cs="Times New Roman"/>
          <w:b w:val="0"/>
          <w:bCs/>
          <w:color w:val="000000" w:themeColor="text1"/>
          <w:kern w:val="2"/>
          <w:sz w:val="32"/>
          <w:szCs w:val="32"/>
          <w:highlight w:val="none"/>
          <w:lang w:val="zh-CN" w:eastAsia="zh-CN" w:bidi="ar-SA"/>
          <w14:textFill>
            <w14:solidFill>
              <w14:schemeClr w14:val="tx1"/>
            </w14:solidFill>
          </w14:textFill>
        </w:rPr>
        <w:t>积极协同市级卫生健康部门，进一步完善覆盖全区的孕产妇和新生儿危急重症救治网络，畅通院前急救与院内多学科联合救治绿色通道。加强产科、儿科能力建设。依托家庭医生签约服务、产后访视、托育机构签约等方式，开展面向家庭的婴幼儿科学照护和养育风险筛查与咨询指导服务。持续推进“医防护”一体化儿童健康管理中心建设。持续巩固艾滋病、梅毒和乙肝母婴传播消除认证成果，确保各项防治核心指标持续稳定达标。</w:t>
      </w:r>
    </w:p>
    <w:p w14:paraId="7090C1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楷体_GB2312" w:hAnsi="楷体_GB2312" w:eastAsia="楷体_GB2312" w:cs="楷体_GB2312"/>
          <w:b w:val="0"/>
          <w:bCs/>
          <w:color w:val="000000" w:themeColor="text1"/>
          <w:kern w:val="2"/>
          <w:sz w:val="32"/>
          <w:szCs w:val="32"/>
          <w:highlight w:val="none"/>
          <w:lang w:val="zh-CN" w:eastAsia="zh-CN" w:bidi="ar-SA"/>
          <w14:textFill>
            <w14:solidFill>
              <w14:schemeClr w14:val="tx1"/>
            </w14:solidFill>
          </w14:textFill>
        </w:rPr>
        <w:t>（四）严控</w:t>
      </w:r>
      <w:r>
        <w:rPr>
          <w:rFonts w:hint="eastAsia" w:ascii="楷体_GB2312" w:hAnsi="楷体_GB2312" w:eastAsia="楷体_GB2312" w:cs="楷体_GB2312"/>
          <w:b w:val="0"/>
          <w:bCs/>
          <w:color w:val="000000" w:themeColor="text1"/>
          <w:kern w:val="2"/>
          <w:sz w:val="32"/>
          <w:szCs w:val="32"/>
          <w:highlight w:val="none"/>
          <w:lang w:val="zh-CN" w:eastAsia="zh-CN" w:bidi="ar-SA"/>
          <w14:textFill>
            <w14:solidFill>
              <w14:schemeClr w14:val="tx1"/>
            </w14:solidFill>
          </w14:textFill>
        </w:rPr>
        <w:t>重点</w:t>
      </w:r>
      <w:r>
        <w:rPr>
          <w:rFonts w:hint="default" w:ascii="楷体_GB2312" w:hAnsi="楷体_GB2312" w:eastAsia="楷体_GB2312" w:cs="楷体_GB2312"/>
          <w:b w:val="0"/>
          <w:bCs/>
          <w:color w:val="000000" w:themeColor="text1"/>
          <w:kern w:val="2"/>
          <w:sz w:val="32"/>
          <w:szCs w:val="32"/>
          <w:highlight w:val="none"/>
          <w:lang w:val="zh-CN" w:eastAsia="zh-CN" w:bidi="ar-SA"/>
          <w14:textFill>
            <w14:solidFill>
              <w14:schemeClr w14:val="tx1"/>
            </w14:solidFill>
          </w14:textFill>
        </w:rPr>
        <w:t>核心健康指标。</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十五五”期间，孕产妇死亡率控制在12/10万以下，新生儿死亡率控制在3‰以下，婴儿死亡率控制在5‰以下，5岁以下儿童死亡率控制在6‰以下。建立重点健康指标监测预警机制，实行季度通报、年度考核制度。持续推进消除宫颈癌行动计划，到2030年，适龄妇女宫颈癌筛查覆盖率达到70%以上，宫颈癌及癌前病变患者治疗率达到90%以上。不断完善“防、筛、诊、治”一体化防治服务体系，提升早诊早治水平。加强妇女“两癌”防治知识宣传普及，提高妇女主动参与筛查和健康管理的积极性。</w:t>
      </w:r>
    </w:p>
    <w:p w14:paraId="557E37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u w:val="none"/>
          <w:lang w:val="zh-CN" w:eastAsia="zh-CN" w:bidi="ar-SA"/>
          <w14:textFill>
            <w14:solidFill>
              <w14:schemeClr w14:val="tx1"/>
            </w14:solidFill>
          </w14:textFill>
        </w:rPr>
      </w:pPr>
      <w:r>
        <w:rPr>
          <w:rFonts w:hint="default" w:ascii="黑体" w:hAnsi="黑体" w:eastAsia="黑体" w:cs="黑体"/>
          <w:b w:val="0"/>
          <w:bCs/>
          <w:color w:val="000000" w:themeColor="text1"/>
          <w:kern w:val="2"/>
          <w:sz w:val="32"/>
          <w:szCs w:val="32"/>
          <w:highlight w:val="none"/>
          <w:u w:val="none"/>
          <w:lang w:val="zh-CN" w:eastAsia="zh-CN" w:bidi="ar-SA"/>
          <w14:textFill>
            <w14:solidFill>
              <w14:schemeClr w14:val="tx1"/>
            </w14:solidFill>
          </w14:textFill>
        </w:rPr>
        <w:t>二、健全老年健康与医养结合服务体系</w:t>
      </w:r>
      <w:r>
        <w:rPr>
          <w:rFonts w:hint="default" w:ascii="Times New Roman" w:hAnsi="Times New Roman" w:eastAsia="仿宋_GB2312" w:cs="Times New Roman"/>
          <w:b w:val="0"/>
          <w:bCs/>
          <w:color w:val="000000" w:themeColor="text1"/>
          <w:kern w:val="2"/>
          <w:sz w:val="32"/>
          <w:szCs w:val="32"/>
          <w:highlight w:val="none"/>
          <w:u w:val="none"/>
          <w:lang w:val="zh-CN" w:eastAsia="zh-CN" w:bidi="ar-SA"/>
          <w14:textFill>
            <w14:solidFill>
              <w14:schemeClr w14:val="tx1"/>
            </w14:solidFill>
          </w14:textFill>
        </w:rPr>
        <w:t>。</w:t>
      </w:r>
    </w:p>
    <w:p w14:paraId="7C3712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u w:val="none"/>
          <w:lang w:val="zh-CN" w:eastAsia="zh-CN" w:bidi="ar-SA"/>
          <w14:textFill>
            <w14:solidFill>
              <w14:schemeClr w14:val="tx1"/>
            </w14:solidFill>
          </w14:textFill>
        </w:rPr>
      </w:pPr>
      <w:r>
        <w:rPr>
          <w:rFonts w:hint="default" w:ascii="楷体_GB2312" w:hAnsi="楷体_GB2312" w:eastAsia="楷体_GB2312" w:cs="楷体_GB2312"/>
          <w:b w:val="0"/>
          <w:bCs/>
          <w:color w:val="000000" w:themeColor="text1"/>
          <w:kern w:val="2"/>
          <w:sz w:val="32"/>
          <w:szCs w:val="32"/>
          <w:highlight w:val="none"/>
          <w:u w:val="none"/>
          <w:lang w:val="zh-CN" w:eastAsia="zh-CN" w:bidi="ar-SA"/>
          <w14:textFill>
            <w14:solidFill>
              <w14:schemeClr w14:val="tx1"/>
            </w14:solidFill>
          </w14:textFill>
        </w:rPr>
        <w:t>（一）构建覆盖全周期的老年健康服务连续体。</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打造覆盖“机构-社区-家庭”相协调、“预防-诊疗-康复-安宁”全链条的老年健康服务模式。老年护理资源有效扩容，覆盖机构、社区、居家的老年护理服务体系逐步完善。深入推进老年健康素养促进项目，广泛开展老年人常见病、多发病的早期筛查与健康危险因素干预，建立并动态管理老年人电子健康档案。健全适应老年人疾病特点的分级诊疗服务体系，优化针对老年患者特别是失能老人的双向转诊标准与便捷通道。大力推动医疗卫生服务资源向社区、家庭延伸，发展家庭病床、上门巡诊等居家医疗服务。</w:t>
      </w:r>
    </w:p>
    <w:p w14:paraId="216BE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u w:val="none"/>
          <w:lang w:val="zh-CN" w:eastAsia="zh-CN" w:bidi="ar-SA"/>
          <w14:textFill>
            <w14:solidFill>
              <w14:schemeClr w14:val="tx1"/>
            </w14:solidFill>
          </w14:textFill>
        </w:rPr>
      </w:pPr>
      <w:r>
        <w:rPr>
          <w:rFonts w:hint="default" w:ascii="楷体_GB2312" w:hAnsi="楷体_GB2312" w:eastAsia="楷体_GB2312" w:cs="楷体_GB2312"/>
          <w:b w:val="0"/>
          <w:bCs/>
          <w:color w:val="000000" w:themeColor="text1"/>
          <w:kern w:val="2"/>
          <w:sz w:val="32"/>
          <w:szCs w:val="32"/>
          <w:highlight w:val="none"/>
          <w:u w:val="none"/>
          <w:lang w:val="zh-CN" w:eastAsia="zh-CN" w:bidi="ar-SA"/>
          <w14:textFill>
            <w14:solidFill>
              <w14:schemeClr w14:val="tx1"/>
            </w14:solidFill>
          </w14:textFill>
        </w:rPr>
        <w:t>（二）优化老年健康综合评估与管理服务。</w:t>
      </w:r>
      <w:r>
        <w:rPr>
          <w:rFonts w:hint="default" w:ascii="Times New Roman" w:hAnsi="Times New Roman" w:eastAsia="仿宋_GB2312" w:cs="Times New Roman"/>
          <w:b w:val="0"/>
          <w:bCs/>
          <w:color w:val="000000" w:themeColor="text1"/>
          <w:kern w:val="2"/>
          <w:sz w:val="32"/>
          <w:szCs w:val="32"/>
          <w:highlight w:val="none"/>
          <w:u w:val="none"/>
          <w:lang w:val="zh-CN" w:eastAsia="zh-CN" w:bidi="ar-SA"/>
          <w14:textFill>
            <w14:solidFill>
              <w14:schemeClr w14:val="tx1"/>
            </w14:solidFill>
          </w14:textFill>
        </w:rPr>
        <w:t>持续深化面向高龄、失能（失智）、残疾、独居、计划生育特殊家庭老年人的家庭医生签约服务内涵，提供定期上门访视、综合健康评估、安全用药指导、专业康复护理、心理关怀支持等整合型服务。深入推进医养结合服务，支持养老机构、医疗机构提供医养结合服务，支持有条件的医疗机构在养老机构内设置门诊部、诊所或医务室，开展驻点服务、远程医疗、协议合作等多种形式服务。大力发展“互联网+护理服务”、“互联网+健康管理”等智慧健康养老创新应用模式，推广智能监测设备在老年群体中的应用。</w:t>
      </w:r>
    </w:p>
    <w:p w14:paraId="719F88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u w:val="none"/>
          <w:lang w:val="zh-CN" w:eastAsia="zh-CN" w:bidi="ar-SA"/>
          <w14:textFill>
            <w14:solidFill>
              <w14:schemeClr w14:val="tx1"/>
            </w14:solidFill>
          </w14:textFill>
        </w:rPr>
      </w:pPr>
      <w:r>
        <w:rPr>
          <w:rFonts w:hint="default" w:ascii="楷体_GB2312" w:hAnsi="楷体_GB2312" w:eastAsia="楷体_GB2312" w:cs="楷体_GB2312"/>
          <w:b w:val="0"/>
          <w:bCs/>
          <w:color w:val="000000" w:themeColor="text1"/>
          <w:kern w:val="2"/>
          <w:sz w:val="32"/>
          <w:szCs w:val="32"/>
          <w:highlight w:val="none"/>
          <w:u w:val="none"/>
          <w:lang w:val="zh-CN" w:eastAsia="zh-CN" w:bidi="ar-SA"/>
          <w14:textFill>
            <w14:solidFill>
              <w14:schemeClr w14:val="tx1"/>
            </w14:solidFill>
          </w14:textFill>
        </w:rPr>
        <w:t>（三）深化医养结合服务机制创新与能力建设。</w:t>
      </w:r>
      <w:r>
        <w:rPr>
          <w:rFonts w:hint="default" w:ascii="Times New Roman" w:hAnsi="Times New Roman" w:eastAsia="仿宋_GB2312" w:cs="Times New Roman"/>
          <w:b w:val="0"/>
          <w:bCs/>
          <w:color w:val="000000" w:themeColor="text1"/>
          <w:kern w:val="2"/>
          <w:sz w:val="32"/>
          <w:szCs w:val="32"/>
          <w:highlight w:val="none"/>
          <w:u w:val="none"/>
          <w:lang w:val="zh-CN" w:eastAsia="zh-CN" w:bidi="ar-SA"/>
          <w14:textFill>
            <w14:solidFill>
              <w14:schemeClr w14:val="tx1"/>
            </w14:solidFill>
          </w14:textFill>
        </w:rPr>
        <w:t>加快黑油山老年病医院建设，构建市级医养结合服务中心为龙头、区级机构为骨干、社区站点为网底的三级服务网络，实现城乡覆盖率达100%。深化“互联网＋医养结合”应用，推动城市医疗集团内部系统对接与数据互通。重点加强老年综合评估、共病管理、综合征处理及多学科协作诊疗能力建设，稳步扩大安宁疗护服务供给。到“十五五”末期，65岁及以上老年人城乡社区规范健康管理服务率稳定在75%以上，政府办社区卫生服务中心100%达到老年友善医疗机构标准。力争实现医养结合机构备案医疗卫生机构全覆盖、医保与长期护理保险定点全覆盖。</w:t>
      </w:r>
    </w:p>
    <w:p w14:paraId="6C301D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themeColor="text1"/>
          <w:kern w:val="2"/>
          <w:sz w:val="32"/>
          <w:szCs w:val="32"/>
          <w:highlight w:val="none"/>
          <w:lang w:val="zh-CN" w:eastAsia="zh-CN" w:bidi="ar-SA"/>
          <w14:textFill>
            <w14:solidFill>
              <w14:schemeClr w14:val="tx1"/>
            </w14:solidFill>
          </w14:textFill>
        </w:rPr>
      </w:pPr>
      <w:r>
        <w:rPr>
          <w:rFonts w:hint="default" w:ascii="黑体" w:hAnsi="黑体" w:eastAsia="黑体" w:cs="黑体"/>
          <w:b w:val="0"/>
          <w:bCs/>
          <w:color w:val="000000" w:themeColor="text1"/>
          <w:kern w:val="2"/>
          <w:sz w:val="32"/>
          <w:szCs w:val="32"/>
          <w:highlight w:val="none"/>
          <w:lang w:val="zh-CN" w:eastAsia="zh-CN" w:bidi="ar-SA"/>
          <w14:textFill>
            <w14:solidFill>
              <w14:schemeClr w14:val="tx1"/>
            </w14:solidFill>
          </w14:textFill>
        </w:rPr>
        <w:t>三、完善生育支持政策与普惠托育服务体系</w:t>
      </w:r>
      <w:r>
        <w:rPr>
          <w:rFonts w:hint="eastAsia" w:ascii="黑体" w:hAnsi="黑体" w:eastAsia="黑体" w:cs="黑体"/>
          <w:b w:val="0"/>
          <w:bCs/>
          <w:color w:val="000000" w:themeColor="text1"/>
          <w:kern w:val="2"/>
          <w:sz w:val="32"/>
          <w:szCs w:val="32"/>
          <w:highlight w:val="none"/>
          <w:lang w:val="zh-CN" w:eastAsia="zh-CN" w:bidi="ar-SA"/>
          <w14:textFill>
            <w14:solidFill>
              <w14:schemeClr w14:val="tx1"/>
            </w14:solidFill>
          </w14:textFill>
        </w:rPr>
        <w:t>。</w:t>
      </w:r>
    </w:p>
    <w:p w14:paraId="1E230D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不断拓展政策覆盖维度。</w:t>
      </w:r>
      <w:r>
        <w:rPr>
          <w:rFonts w:hint="default" w:ascii="Times New Roman" w:hAnsi="Times New Roman" w:eastAsia="仿宋_GB2312" w:cs="Times New Roman"/>
          <w:b w:val="0"/>
          <w:bCs/>
          <w:color w:val="000000" w:themeColor="text1"/>
          <w:kern w:val="2"/>
          <w:sz w:val="32"/>
          <w:szCs w:val="32"/>
          <w:highlight w:val="none"/>
          <w:lang w:val="zh-CN" w:eastAsia="zh-CN" w:bidi="ar-SA"/>
          <w14:textFill>
            <w14:solidFill>
              <w14:schemeClr w14:val="tx1"/>
            </w14:solidFill>
          </w14:textFill>
        </w:rPr>
        <w:t>全面实施精准化的育儿补贴制度，建立分孩次差异化、标准动态调整的长效发放与效果监测评估机制。依法严格落实产假、生育奖励假、陪产假、育儿假等制度。协同相关部门推动住房、税收、教育、医疗等领域向多子女家庭倾斜的支持政策，推动将生育支持措施融入住房保障体系。持续优化全链条健康服务，加强生殖健康科普与早孕关爱服务，落实婚前医学检查、孕前优生健康检查、新生儿疾病筛查等免费公共服务。优化生育服务流程，全面推行“出生一件事”联办机制，整合生育登记、生育保险待遇申领、儿童预防接种证办理等事项。</w:t>
      </w:r>
    </w:p>
    <w:p w14:paraId="68FB15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lang w:val="en-US" w:eastAsia="zh-CN" w:bidi="ar-SA"/>
          <w14:textFill>
            <w14:solidFill>
              <w14:schemeClr w14:val="tx1"/>
            </w14:solidFill>
          </w14:textFill>
        </w:rPr>
        <w:t>（二）扩大普惠托育服务有效供给。</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加快构建以托育综合服务中心为枢纽，托育机构、社区嵌入式托育、幼儿园托班、用人单位办托、家庭托育点为补充的“1+N”服务体系。重点发展社区嵌入式托育，按照“15分钟便民服务圈”合理布局。加大“空间”保障力度，落实场地、税费等优惠措施，严格执行新建小区与配套托育设施“同步规划、同步建设、同步验收、同步交付”要求，结合城市更新补充老城区设施。推动普惠托育服务全面纳入企事业单位职工福利体系。“十五五”时期，积极争取中央预算内投资，储备谋划社区普惠托育服务网络项目，并通过</w:t>
      </w:r>
      <w:bookmarkStart w:id="13" w:name="_GoBack"/>
      <w:bookmarkEnd w:id="13"/>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改建部分公办幼儿园等措施，持续新增280个以上普惠托位。引入“普惠托育机构运营补贴”机制，支持社会力量利用社区存量资源建设标准化、专业化机构，形成多元供给格局。“十五五”末，</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确保普惠托位占比达到60%以上。</w:t>
      </w:r>
    </w:p>
    <w:p w14:paraId="360914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强化服务质量与综合监管。</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制定并实施全区统一的普惠托育机构质量评估标准，建立“认定-补助-评估-调整”管理闭环，开展常态化质量监测与督导评估。深化“医育结合”模式，加强医疗卫生机构对托育机构卫生保健、营养喂养、疾病预防及早期发展指导的专业支持。实施托育从业人员能力提升计划，规范岗前培训与在岗轮训。健全托育服务综合监管体系，建立服务信息公开与投诉举报机制。探索建立政府补贴、企业支持、家庭合理分担相结合的成本共担机制。鼓励发展智慧托育，建设服务信息平台，培育本土品牌，支持优质机构连锁化、规模化发展。</w:t>
      </w:r>
    </w:p>
    <w:p w14:paraId="3AE424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楷体_GB2312" w:cs="Times New Roman"/>
          <w:b w:val="0"/>
          <w:bCs w:val="0"/>
          <w:color w:val="000000" w:themeColor="text1"/>
          <w:kern w:val="2"/>
          <w:sz w:val="32"/>
          <w:szCs w:val="32"/>
          <w:highlight w:val="none"/>
          <w:lang w:val="en-US" w:eastAsia="zh-CN" w:bidi="ar-SA"/>
          <w14:textFill>
            <w14:solidFill>
              <w14:schemeClr w14:val="tx1"/>
            </w14:solidFill>
          </w14:textFill>
        </w:rPr>
        <w:t>营造生育友好型社会环境。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大力培育新型婚育文化，加强青年婚恋观、家庭观教育引导，倡导适龄婚育、优生优育、责任共担的文明新风。全面开展健康家庭创建活动，选树宣传科学育儿、夫妻共担育儿责任的家庭典型。协同民政、妇联等部门，搭建公益婚恋交友平台，推进婚俗改革，破除高价彩礼、大操大办等陈规陋习。推动公共场所母婴设施建设全覆盖并优化管理。鼓励用人单位创建家庭友好型工作场所，将生育友好程度纳入企业社会责任评价体系。通过多维度宣传倡导，积极营造包容支持的生育友好型社会舆论环境。</w:t>
      </w:r>
    </w:p>
    <w:tbl>
      <w:tblPr>
        <w:tblStyle w:val="14"/>
        <w:tblW w:w="49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9"/>
      </w:tblGrid>
      <w:tr w14:paraId="7A1A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0213F14E">
            <w:pPr>
              <w:keepNext w:val="0"/>
              <w:keepLines w:val="0"/>
              <w:pageBreakBefore w:val="0"/>
              <w:widowControl w:val="0"/>
              <w:kinsoku/>
              <w:wordWrap/>
              <w:overflowPunct w:val="0"/>
              <w:topLinePunct w:val="0"/>
              <w:autoSpaceDE/>
              <w:autoSpaceDN/>
              <w:bidi w:val="0"/>
              <w:adjustRightInd/>
              <w:snapToGrid w:val="0"/>
              <w:spacing w:after="313" w:afterLines="100" w:line="460" w:lineRule="exact"/>
              <w:jc w:val="center"/>
              <w:textAlignment w:val="auto"/>
              <w:rPr>
                <w:rFonts w:hint="eastAsia" w:ascii="Times New Roman" w:hAnsi="Times New Roman" w:eastAsia="仿宋_GB2312" w:cs="Times New Roman"/>
                <w:b/>
                <w:bCs/>
                <w:color w:val="000000" w:themeColor="text1"/>
                <w:kern w:val="0"/>
                <w:sz w:val="28"/>
                <w:szCs w:val="28"/>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kern w:val="0"/>
                <w:sz w:val="28"/>
                <w:szCs w:val="28"/>
                <w:highlight w:val="none"/>
                <w14:textFill>
                  <w14:solidFill>
                    <w14:schemeClr w14:val="tx1"/>
                  </w14:solidFill>
                </w14:textFill>
              </w:rPr>
              <w:t>重点项目</w:t>
            </w:r>
            <w:r>
              <w:rPr>
                <w:rFonts w:hint="eastAsia" w:ascii="Times New Roman" w:hAnsi="Times New Roman" w:eastAsia="仿宋_GB2312" w:cs="Times New Roman"/>
                <w:b/>
                <w:bCs/>
                <w:color w:val="000000" w:themeColor="text1"/>
                <w:kern w:val="0"/>
                <w:sz w:val="28"/>
                <w:szCs w:val="28"/>
                <w:highlight w:val="none"/>
                <w:lang w:val="en-US" w:eastAsia="zh-CN"/>
                <w14:textFill>
                  <w14:solidFill>
                    <w14:schemeClr w14:val="tx1"/>
                  </w14:solidFill>
                </w14:textFill>
              </w:rPr>
              <w:t>4</w:t>
            </w:r>
          </w:p>
          <w:p w14:paraId="5269BBD3">
            <w:pPr>
              <w:overflowPunct w:val="0"/>
              <w:snapToGrid w:val="0"/>
              <w:spacing w:line="460" w:lineRule="exact"/>
              <w:ind w:firstLine="482" w:firstLineChars="200"/>
              <w:rPr>
                <w:rFonts w:hint="eastAsia" w:ascii="Times New Roman" w:hAnsi="Times New Roman" w:eastAsia="仿宋_GB2312"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kern w:val="0"/>
                <w:sz w:val="24"/>
                <w:szCs w:val="24"/>
                <w:highlight w:val="none"/>
                <w14:textFill>
                  <w14:solidFill>
                    <w14:schemeClr w14:val="tx1"/>
                  </w14:solidFill>
                </w14:textFill>
              </w:rPr>
              <w:t>克拉玛依市克拉玛依区公办幼儿园托育设施建设项目</w:t>
            </w:r>
            <w:r>
              <w:rPr>
                <w:rFonts w:hint="eastAsia" w:ascii="Times New Roman" w:hAnsi="Times New Roman" w:eastAsia="仿宋_GB2312" w:cs="Times New Roman"/>
                <w:color w:val="000000" w:themeColor="text1"/>
                <w:kern w:val="0"/>
                <w:sz w:val="24"/>
                <w:szCs w:val="24"/>
                <w:highlight w:val="none"/>
                <w:lang w:eastAsia="zh-CN"/>
                <w14:textFill>
                  <w14:solidFill>
                    <w14:schemeClr w14:val="tx1"/>
                  </w14:solidFill>
                </w14:textFill>
              </w:rPr>
              <w:t>：对6所公办幼儿园实施托育服务功能改造，改造总建筑面积3360平方米，重点将现有闲置或适宜空间改造为符合婴幼儿照护标准的托育服务场所，新增普惠托位280个。通过完善室内装修、配备适龄设施及智慧管理系统，拓展全日托、半日托、临时托等多元服务模式，切实提升区域普惠托育服务供给能力。</w:t>
            </w:r>
          </w:p>
          <w:p w14:paraId="6A35C710">
            <w:pPr>
              <w:keepNext w:val="0"/>
              <w:keepLines w:val="0"/>
              <w:pageBreakBefore w:val="0"/>
              <w:widowControl w:val="0"/>
              <w:kinsoku/>
              <w:wordWrap/>
              <w:overflowPunct w:val="0"/>
              <w:topLinePunct w:val="0"/>
              <w:autoSpaceDE/>
              <w:autoSpaceDN/>
              <w:bidi w:val="0"/>
              <w:adjustRightInd/>
              <w:snapToGrid w:val="0"/>
              <w:spacing w:before="157" w:beforeLines="50" w:after="313" w:afterLines="100" w:line="460" w:lineRule="exact"/>
              <w:jc w:val="center"/>
              <w:textAlignment w:val="auto"/>
              <w:rPr>
                <w:rFonts w:hint="eastAsia" w:ascii="Times New Roman" w:hAnsi="Times New Roman" w:eastAsia="仿宋_GB2312" w:cs="Times New Roman"/>
                <w:b/>
                <w:bCs/>
                <w:color w:val="000000" w:themeColor="text1"/>
                <w:kern w:val="0"/>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28"/>
                <w:szCs w:val="28"/>
                <w:highlight w:val="none"/>
                <w14:textFill>
                  <w14:solidFill>
                    <w14:schemeClr w14:val="tx1"/>
                  </w14:solidFill>
                </w14:textFill>
              </w:rPr>
              <w:t>重点项目</w:t>
            </w:r>
            <w:r>
              <w:rPr>
                <w:rFonts w:hint="eastAsia" w:ascii="Times New Roman" w:hAnsi="Times New Roman" w:eastAsia="仿宋_GB2312" w:cs="Times New Roman"/>
                <w:b/>
                <w:bCs/>
                <w:color w:val="000000" w:themeColor="text1"/>
                <w:kern w:val="0"/>
                <w:sz w:val="28"/>
                <w:szCs w:val="28"/>
                <w:highlight w:val="none"/>
                <w:lang w:val="en-US" w:eastAsia="zh-CN"/>
                <w14:textFill>
                  <w14:solidFill>
                    <w14:schemeClr w14:val="tx1"/>
                  </w14:solidFill>
                </w14:textFill>
              </w:rPr>
              <w:t>5</w:t>
            </w:r>
          </w:p>
          <w:p w14:paraId="5A02E699">
            <w:pPr>
              <w:overflowPunct w:val="0"/>
              <w:snapToGrid w:val="0"/>
              <w:spacing w:line="460" w:lineRule="exact"/>
              <w:ind w:firstLine="482" w:firstLineChars="200"/>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highlight w:val="none"/>
                <w:lang w:val="en-US" w:eastAsia="zh-CN"/>
                <w14:textFill>
                  <w14:solidFill>
                    <w14:schemeClr w14:val="tx1"/>
                  </w14:solidFill>
                </w14:textFill>
              </w:rPr>
              <w:t>昆仑路街道康城养老服务中心（社区医养结合服务中心）改建项目：</w:t>
            </w: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为切实补齐昆仑路街道医养结合服务短板，有效满足辖区老年群体就近养老、医疗康复刚需，实施康城养老服务中心改建、扩建项目。项目规划总用地面积约6094.07平方米，规划总建筑面积约5257.37平方米。重点围绕提升医养服务能力推进建设：足量增设医养结合床位，配齐中医诊疗、养老康复等专业设施设备，完善室内外活动场地、管网、绿化等室外工程及配套系统，全面打造功能齐全、服务便捷的社区医养结合服务阵地。</w:t>
            </w:r>
          </w:p>
          <w:p w14:paraId="208B6EEA">
            <w:pPr>
              <w:keepNext w:val="0"/>
              <w:keepLines w:val="0"/>
              <w:pageBreakBefore w:val="0"/>
              <w:widowControl w:val="0"/>
              <w:kinsoku/>
              <w:wordWrap/>
              <w:overflowPunct w:val="0"/>
              <w:topLinePunct w:val="0"/>
              <w:autoSpaceDE/>
              <w:autoSpaceDN/>
              <w:bidi w:val="0"/>
              <w:adjustRightInd/>
              <w:snapToGrid w:val="0"/>
              <w:spacing w:before="157" w:beforeLines="50" w:after="313" w:afterLines="100" w:line="460" w:lineRule="exact"/>
              <w:jc w:val="center"/>
              <w:textAlignment w:val="auto"/>
              <w:rPr>
                <w:rFonts w:hint="eastAsia" w:ascii="Times New Roman" w:hAnsi="Times New Roman" w:eastAsia="仿宋_GB2312" w:cs="Times New Roman"/>
                <w:b/>
                <w:bCs/>
                <w:color w:val="000000" w:themeColor="text1"/>
                <w:kern w:val="0"/>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28"/>
                <w:szCs w:val="28"/>
                <w:highlight w:val="none"/>
                <w14:textFill>
                  <w14:solidFill>
                    <w14:schemeClr w14:val="tx1"/>
                  </w14:solidFill>
                </w14:textFill>
              </w:rPr>
              <w:t>重点项目</w:t>
            </w:r>
            <w:r>
              <w:rPr>
                <w:rFonts w:hint="eastAsia" w:ascii="Times New Roman" w:hAnsi="Times New Roman" w:eastAsia="仿宋_GB2312" w:cs="Times New Roman"/>
                <w:b/>
                <w:bCs/>
                <w:color w:val="000000" w:themeColor="text1"/>
                <w:kern w:val="0"/>
                <w:sz w:val="28"/>
                <w:szCs w:val="28"/>
                <w:highlight w:val="none"/>
                <w:lang w:val="en-US" w:eastAsia="zh-CN"/>
                <w14:textFill>
                  <w14:solidFill>
                    <w14:schemeClr w14:val="tx1"/>
                  </w14:solidFill>
                </w14:textFill>
              </w:rPr>
              <w:t>6</w:t>
            </w:r>
          </w:p>
          <w:p w14:paraId="3071989E">
            <w:pPr>
              <w:overflowPunct w:val="0"/>
              <w:snapToGrid w:val="0"/>
              <w:spacing w:line="460" w:lineRule="exact"/>
              <w:ind w:firstLine="482" w:firstLineChars="200"/>
              <w:rPr>
                <w:rFonts w:hint="eastAsia" w:ascii="Times New Roman" w:hAnsi="Times New Roman" w:eastAsia="仿宋_GB2312"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highlight w:val="none"/>
                <w:lang w:val="en-US" w:eastAsia="zh-CN"/>
                <w14:textFill>
                  <w14:solidFill>
                    <w14:schemeClr w14:val="tx1"/>
                  </w14:solidFill>
                </w14:textFill>
              </w:rPr>
              <w:t>北疆区域城市医养结合服务高地项目</w:t>
            </w:r>
            <w:r>
              <w:rPr>
                <w:rFonts w:hint="default" w:ascii="Times New Roman" w:hAnsi="Times New Roman" w:eastAsia="仿宋_GB2312" w:cs="Times New Roman"/>
                <w:b/>
                <w:bCs/>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为深入推进区域医养结合高质量发展，不断扩大和优化医养结合服务供给，打造北疆区域城市医养结合服务高地，对现有老年病医院进行改扩建，规划总建筑面积6.9万平方米，改扩建11栋功能互补的现代化建筑群，形成集医疗、康养、科研、培训于一体的一站式服务平台，构建“筛查-治疗-康养-临终关怀”全周期服务链。</w:t>
            </w:r>
          </w:p>
        </w:tc>
      </w:tr>
    </w:tbl>
    <w:p w14:paraId="64461771">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eastAsia"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第</w:t>
      </w:r>
      <w:r>
        <w:rPr>
          <w:rFonts w:hint="eastAsia" w:ascii="Times New Roman" w:hAnsi="Times New Roman" w:eastAsia="黑体" w:cs="Times New Roman"/>
          <w:b w:val="0"/>
          <w:bCs/>
          <w:color w:val="000000" w:themeColor="text1"/>
          <w:kern w:val="2"/>
          <w:sz w:val="32"/>
          <w:szCs w:val="32"/>
          <w:highlight w:val="none"/>
          <w:lang w:val="en-US" w:eastAsia="zh-CN" w:bidi="ar-SA"/>
          <w14:textFill>
            <w14:solidFill>
              <w14:schemeClr w14:val="tx1"/>
            </w14:solidFill>
          </w14:textFill>
        </w:rPr>
        <w:t>五</w:t>
      </w:r>
      <w:r>
        <w:rPr>
          <w:rFonts w:hint="eastAsia"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节</w:t>
      </w:r>
      <w:r>
        <w:rPr>
          <w:rFonts w:hint="eastAsia" w:ascii="Times New Roman" w:hAnsi="Times New Roman" w:eastAsia="黑体" w:cs="Times New Roman"/>
          <w:b w:val="0"/>
          <w:bCs/>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推进中医药传承创新，健全服务体系</w:t>
      </w:r>
    </w:p>
    <w:p w14:paraId="08C7AF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坚持中西医并重、中西医结合、中西药并用，打造覆盖全民全生命周期、服务内涵丰富、区域特色鲜明、竞争优势突出的高质量中医药服务体系，充分发挥中医药在治未病、重大疾病治疗、疾病康复中的独特作用。</w:t>
      </w:r>
    </w:p>
    <w:p w14:paraId="6BDF96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一、完善中医药服务网络</w:t>
      </w:r>
    </w:p>
    <w:p w14:paraId="43A852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Segoe UI" w:hAnsi="Segoe UI" w:eastAsia="Segoe UI" w:cs="Segoe UI"/>
          <w:i w:val="0"/>
          <w:iCs w:val="0"/>
          <w:caps w:val="0"/>
          <w:color w:val="0F1115"/>
          <w:spacing w:val="0"/>
          <w:sz w:val="19"/>
          <w:szCs w:val="19"/>
          <w:highlight w:val="none"/>
          <w:shd w:val="clear" w:fill="FFFFFF"/>
          <w:lang w:val="en-US" w:eastAsia="zh-CN"/>
        </w:rPr>
      </w:pPr>
      <w:r>
        <w:rPr>
          <w:rFonts w:hint="eastAsia"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（一）构建三级中医药服务体系。</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健全城市医疗集团－基层医疗卫生机构－社区卫生服务站“三级”中医药服务体系，紧密依托城市医疗集团建设，着力构建“市中西医结合医院（龙头）</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基层医疗卫生机构（骨干）</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社区卫生服务站（网底）”三级联动、功能互补的中医药服务体系。明确市中西医结合医院承担区域内中医疑难危重症诊疗、技术指导辐射与高层次人才培养核心任务；基层医疗卫生机构重点提供常见病、多发病的中医诊疗、康复与健康管理服务；社区卫生服务站负责中医药健康管理知识普及与适宜技术推广，中医药服务覆盖站点比例超过40%。以城市医疗集团为依托，持续巩固并发挥牵头医院市中西医结合医院中医外治中心的技术引领功能，在2个社区卫生服务中心建成中医外治技术实践基地，形成“1个中心+N个基地”的技术辐射与协作网络，实现优质中医药技术资源的有序流动和共享。规范引导社会办中医医疗机构参照同级公立医疗机构标准参与服务网络建设，构建公立与非公立中医机构错位发展、良性互补、有序竞争的服务格局，最终形成覆盖全域、协同高效的中医药服务网络体系，为区域卫生健康事业高质量发展提供特色支撑。</w:t>
      </w:r>
    </w:p>
    <w:p w14:paraId="692B4B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（二）推进中医药服务阵地建设。</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开展“基层中医馆、社区特色中医阁、共享中药房”三位一体的阵地建设。通过市级中医专家定期下沉坐诊、牵头医院“包站”对口帮扶、远程中医会诊指导等方式，</w:t>
      </w: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有效</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推动中医药服务资源和服务能力有效下沉至站点乃至家庭医生团队</w:t>
      </w: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“十五五”末，实现基层医疗卫生机构“智慧中医”服务全覆盖，建成1个区域共享中草药房，40%的社区卫</w:t>
      </w:r>
      <w:r>
        <w:rPr>
          <w:rFonts w:hint="default" w:ascii="Times New Roman" w:hAnsi="Times New Roman" w:eastAsia="仿宋_GB2312" w:cs="Times New Roman"/>
          <w:b w:val="0"/>
          <w:bCs w:val="0"/>
          <w:color w:val="000000" w:themeColor="text1"/>
          <w:spacing w:val="-6"/>
          <w:kern w:val="2"/>
          <w:sz w:val="32"/>
          <w:szCs w:val="32"/>
          <w:highlight w:val="none"/>
          <w:lang w:val="zh-CN" w:eastAsia="zh-CN" w:bidi="ar-SA"/>
          <w14:textFill>
            <w14:solidFill>
              <w14:schemeClr w14:val="tx1"/>
            </w14:solidFill>
          </w14:textFill>
        </w:rPr>
        <w:t>生服务站建成中医阁，显著提升居民中医药服务的可及性与便捷性。</w:t>
      </w:r>
    </w:p>
    <w:p w14:paraId="6FCBB0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（三）发展本地中草药种植与利用。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立足区域生态特色，以小拐乡中草药种植试点为基础，依托2025年林下中草药规模化种植形成的成熟技术，持续深化林下经济试点建设。进一步扩大种植规模、丰富种植品类，探索并推广适合本地土壤与气候条件的道地药材。推动“院企合作”向纵深发展，与中药材企业拓展合作维度，签订长期稳定收购协议，筑牢“种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收购</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使用”的产销闭环。鼓励基层医疗机构优先使用本地药材，并将中草药知识普及融入健康教育，从源头保障品质、降低成本。推动林下经济从试点示范向规模化、产业化高质量发展转型，逐步形成具有地域特色的中医药产业发展模式。</w:t>
      </w:r>
    </w:p>
    <w:p w14:paraId="5D1D7D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二、提升中医药服务能力</w:t>
      </w:r>
    </w:p>
    <w:p w14:paraId="0B91CA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（一）强化中医药人才队伍建设。</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建立分层分类、系统衔接的中医药人才培养机制，着力强化基层中医药人才队伍配备与能力建设。推行“理论授课+实操训练+临床实战”一体化培训模式，注重实践带教与跟师学习，扎实培养扎根基层、持续服务的中医药师资力量。持续推进中医药传承创新与中西医深度融合，加强中西医结合人才梯队建设，鼓励西医人员系统学习中医理论与技术。“十五五”期间，将全面开展护理人员中医适宜技术专项培训，推动实现30%以上护理人员熟练掌握至少4至6项中医适宜技术。积极争取纳入辖区综合医院中医研学基地体系，拓展人才培养与学术交流平台。</w:t>
      </w:r>
    </w:p>
    <w:p w14:paraId="4FE82B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（二）推广中医药适宜技术。</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建立区级中医药适宜技术推广基地，系统整合并推广“六经学术体系”等特色学术思想及针法、灸法、推拿、罐法等疗法。探索中医师跨团队融入家庭医生团队，以周或月为周期为各团队提供中医处方、中医适宜技术等技术支持与诊疗服务，同时可为居民提供中医健康咨询评估、干预调理、随访管理等治未病服务。将中医药融入基层慢性病健康管理，在高血压、糖尿病等疾病的“防、筛、诊、治、管、康”全链条中充分发挥中医药的特色优势和作用。依托优势中医适宜技术，着力</w:t>
      </w:r>
      <w:r>
        <w:rPr>
          <w:rFonts w:hint="default" w:ascii="Times New Roman" w:hAnsi="Times New Roman" w:eastAsia="仿宋_GB2312" w:cs="Times New Roman"/>
          <w:b w:val="0"/>
          <w:bCs w:val="0"/>
          <w:color w:val="000000" w:themeColor="text1"/>
          <w:spacing w:val="-6"/>
          <w:kern w:val="2"/>
          <w:sz w:val="32"/>
          <w:szCs w:val="32"/>
          <w:highlight w:val="none"/>
          <w:lang w:val="zh-CN" w:eastAsia="zh-CN" w:bidi="ar-SA"/>
          <w14:textFill>
            <w14:solidFill>
              <w14:schemeClr w14:val="tx1"/>
            </w14:solidFill>
          </w14:textFill>
        </w:rPr>
        <w:t>打造2个在区域内具有较高知名度和影响力的基层特色中医品牌。</w:t>
      </w:r>
    </w:p>
    <w:p w14:paraId="02868B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（三）完善中医药质控体系。</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制定《克拉玛依区中医药服务质量标准与评价细则》，建立覆盖区、机构两级的质量控制体系，定期开展中医药服务质量评估与督导检查。</w:t>
      </w: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十五五</w:t>
      </w: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末，力争全区中医门诊服务人次在</w:t>
      </w: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十四五</w:t>
      </w: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基础上增长一倍以上，中医药服务患者满意度达到90%以上。加强中药药事管理，建立中药饮片质量和处方点评制度，确保用药安全。</w:t>
      </w:r>
    </w:p>
    <w:p w14:paraId="714F14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三、创新中医药服务模式</w:t>
      </w:r>
    </w:p>
    <w:p w14:paraId="41E184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（一）推进中医药数字化建设。</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强化数智赋能，打造</w:t>
      </w: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数智中医药</w:t>
      </w: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服务平台。建设智慧中医药平台，实现线上咨询、预约挂号、电子病历、处方流转、药品配送等功能。开发中医辅助诊疗系统，提供智能辨证论治支持，提高诊疗准确性和效率。</w:t>
      </w:r>
    </w:p>
    <w:p w14:paraId="3CCFFD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（二）拓展中医药服务领域。</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大力发展“中医药+康养”新业态，推广中医药在治未病、疾病预防和健康养老中的特色优势。探索开展中医日间病房服务，加强中医药服务与家庭医生签约服务深度融合。</w:t>
      </w:r>
      <w:r>
        <w:rPr>
          <w:rFonts w:hint="default" w:ascii="Times New Roman" w:hAnsi="Times New Roman" w:eastAsia="仿宋_GB2312" w:cs="Times New Roman"/>
          <w:b w:val="0"/>
          <w:bCs w:val="0"/>
          <w:color w:val="000000" w:themeColor="text1"/>
          <w:kern w:val="2"/>
          <w:sz w:val="32"/>
          <w:szCs w:val="32"/>
          <w:highlight w:val="none"/>
          <w:lang w:eastAsia="zh-CN" w:bidi="ar-SA"/>
          <w14:textFill>
            <w14:solidFill>
              <w14:schemeClr w14:val="tx1"/>
            </w14:solidFill>
          </w14:textFill>
        </w:rPr>
        <w:t>探索</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建立中医护理门诊，开展中医适宜技术护理服务。将中医药服务融入家庭医生签约内容，为居民提供中医健康咨询评估、干预调理、随访管理等治未病服务。构建“住院、门诊、站点和居家”无缝衔接的中医药特色康复服务体系。</w:t>
      </w:r>
    </w:p>
    <w:p w14:paraId="7D5413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（三）促进中医药文化传承与普及。</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深入开展“中医药文化进社区、进家庭”活动，建设社区中医药健康文化知识角，推广八段锦、五禽戏等传统养生保健方法。结合本地中草药种植实践，开展中小学生中医药启蒙教育，培育中医药文化传承的群众基础。通过打造本土中医药科普品牌，全面提升居民中医药健康文化素养，营造信中医、爱中医、用中医的社会氛围。</w:t>
      </w:r>
    </w:p>
    <w:p w14:paraId="45014789">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黑体" w:cs="Times New Roman"/>
          <w:b w:val="0"/>
          <w:bCs/>
          <w:color w:val="000000" w:themeColor="text1"/>
          <w:kern w:val="2"/>
          <w:sz w:val="32"/>
          <w:szCs w:val="32"/>
          <w:highlight w:val="none"/>
          <w:u w:val="none"/>
          <w:lang w:val="zh-CN"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highlight w:val="none"/>
          <w:u w:val="none"/>
          <w:lang w:val="zh-CN" w:eastAsia="zh-CN" w:bidi="ar-SA"/>
          <w14:textFill>
            <w14:solidFill>
              <w14:schemeClr w14:val="tx1"/>
            </w14:solidFill>
          </w14:textFill>
        </w:rPr>
        <w:t>第</w:t>
      </w:r>
      <w:r>
        <w:rPr>
          <w:rFonts w:hint="eastAsia" w:ascii="Times New Roman" w:hAnsi="Times New Roman" w:eastAsia="黑体" w:cs="Times New Roman"/>
          <w:b w:val="0"/>
          <w:bCs/>
          <w:color w:val="000000" w:themeColor="text1"/>
          <w:kern w:val="2"/>
          <w:sz w:val="32"/>
          <w:szCs w:val="32"/>
          <w:highlight w:val="none"/>
          <w:u w:val="none"/>
          <w:lang w:val="zh-CN" w:eastAsia="zh-CN" w:bidi="ar-SA"/>
          <w14:textFill>
            <w14:solidFill>
              <w14:schemeClr w14:val="tx1"/>
            </w14:solidFill>
          </w14:textFill>
        </w:rPr>
        <w:t>六</w:t>
      </w:r>
      <w:r>
        <w:rPr>
          <w:rFonts w:hint="default" w:ascii="Times New Roman" w:hAnsi="Times New Roman" w:eastAsia="黑体" w:cs="Times New Roman"/>
          <w:b w:val="0"/>
          <w:bCs/>
          <w:color w:val="000000" w:themeColor="text1"/>
          <w:kern w:val="2"/>
          <w:sz w:val="32"/>
          <w:szCs w:val="32"/>
          <w:highlight w:val="none"/>
          <w:u w:val="none"/>
          <w:lang w:val="zh-CN" w:eastAsia="zh-CN" w:bidi="ar-SA"/>
          <w14:textFill>
            <w14:solidFill>
              <w14:schemeClr w14:val="tx1"/>
            </w14:solidFill>
          </w14:textFill>
        </w:rPr>
        <w:t>节</w:t>
      </w:r>
      <w:r>
        <w:rPr>
          <w:rFonts w:hint="eastAsia" w:ascii="Times New Roman" w:hAnsi="Times New Roman" w:eastAsia="黑体" w:cs="Times New Roman"/>
          <w:b w:val="0"/>
          <w:bCs/>
          <w:color w:val="000000" w:themeColor="text1"/>
          <w:kern w:val="2"/>
          <w:sz w:val="32"/>
          <w:szCs w:val="32"/>
          <w:highlight w:val="none"/>
          <w:u w:val="none"/>
          <w:lang w:val="en-US" w:eastAsia="zh-CN" w:bidi="ar-SA"/>
          <w14:textFill>
            <w14:solidFill>
              <w14:schemeClr w14:val="tx1"/>
            </w14:solidFill>
          </w14:textFill>
        </w:rPr>
        <w:t xml:space="preserve"> </w:t>
      </w:r>
      <w:r>
        <w:rPr>
          <w:rFonts w:hint="default" w:ascii="Times New Roman" w:hAnsi="Times New Roman" w:eastAsia="黑体" w:cs="Times New Roman"/>
          <w:b w:val="0"/>
          <w:bCs/>
          <w:color w:val="000000" w:themeColor="text1"/>
          <w:kern w:val="2"/>
          <w:sz w:val="32"/>
          <w:szCs w:val="32"/>
          <w:highlight w:val="none"/>
          <w:u w:val="none"/>
          <w:lang w:val="zh-CN" w:eastAsia="zh-CN" w:bidi="ar-SA"/>
          <w14:textFill>
            <w14:solidFill>
              <w14:schemeClr w14:val="tx1"/>
            </w14:solidFill>
          </w14:textFill>
        </w:rPr>
        <w:t>推进智慧医疗建设，赋能服务升级</w:t>
      </w:r>
    </w:p>
    <w:p w14:paraId="22F5A9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以数字化转型为核心驱动，聚焦基层医疗服务能力提升与管理效能优化，通过构建自主可控、智能协同的区域一体化智慧健康平台，全面赋能基层卫生健康服务，为居民提供更加便捷、高效、优质的医疗卫生服务。</w:t>
      </w:r>
    </w:p>
    <w:p w14:paraId="2AB9C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u w:val="none"/>
          <w:lang w:val="zh-CN" w:eastAsia="zh-CN" w:bidi="ar-SA"/>
          <w14:textFill>
            <w14:solidFill>
              <w14:schemeClr w14:val="tx1"/>
            </w14:solidFill>
          </w14:textFill>
        </w:rPr>
        <w:t>一、构建区域一体化智慧健康平台。</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升级并完善区级全民健康信息平台，纵向贯通辖区内所有社区卫生服务中心（站），横向联通上级综合医院、疾控中心等机构。整合居民电子健康档案、电子病历、全员人口信息等数据资源，构建覆盖全区的居民全生命周期健康信息数据库。基于此平台，实现电子健康档案与电子病历的实时共享，并深度拓展业务协同功能，包括完善的线上双向转诊、检查检验结果互认等。加强医疗大数据的挖掘分析与利用，为区域医疗服务监管、公共卫生决策等提供智慧化数据支撑，形成“基层首诊、上下联动、数据互通、业务协同”的智慧服务新格局。同时，严格执行网络安全等级保护制度，建立数据备份和灾难恢复机制，确保平台数据全生命周期安全可控。</w:t>
      </w:r>
    </w:p>
    <w:p w14:paraId="04DEA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u w:val="none"/>
          <w:lang w:val="zh-CN" w:eastAsia="zh-CN" w:bidi="ar-SA"/>
          <w14:textFill>
            <w14:solidFill>
              <w14:schemeClr w14:val="tx1"/>
            </w14:solidFill>
          </w14:textFill>
        </w:rPr>
        <w:t>二、实施基层软件系统信创升级与数据融合。</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基于安全可靠的国产技术路线，对社区卫生服务机构使用的信息系统进行全面升级。对现有的医院信息系统</w:t>
      </w:r>
      <w:r>
        <w:rPr>
          <w:rFonts w:hint="eastAsia"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HIS</w:t>
      </w:r>
      <w:r>
        <w:rPr>
          <w:rFonts w:hint="eastAsia"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、实验室信息系统</w:t>
      </w:r>
      <w:r>
        <w:rPr>
          <w:rFonts w:hint="eastAsia"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LIS</w:t>
      </w:r>
      <w:r>
        <w:rPr>
          <w:rFonts w:hint="eastAsia"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、公共卫生管理系统等核心业务模块进行信创环境下的适配、重构与云化部署</w:t>
      </w:r>
      <w:r>
        <w:rPr>
          <w:rFonts w:hint="eastAsia"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规范向居民个人有序开放电子健康档案，支持居民开展自我健康管理。通过系统升级与深度集成，实现公共卫生服务与基本医疗、预防接种与家庭医生签约、机构内就诊与上门服务的全面业务融合与数据贯通。</w:t>
      </w:r>
    </w:p>
    <w:p w14:paraId="4E988C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u w:val="none"/>
          <w:lang w:val="zh-CN" w:eastAsia="zh-CN" w:bidi="ar-SA"/>
          <w14:textFill>
            <w14:solidFill>
              <w14:schemeClr w14:val="tx1"/>
            </w14:solidFill>
          </w14:textFill>
        </w:rPr>
        <w:t>三、深化AI赋能基层医疗健康服务应用。</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在社区卫生服务机构部署和应用人工智能辅助诊疗系统，在心电分析、常见病与多发病辅助诊断、合理用药提示等方面为基层医师提供精准决策支持，提升诊疗准确性与效率。推广应用AI慢病管理引擎与智能健康随访工具，结合智能终端设备开展的远程健康监测，实现对高血压、糖尿病等慢性病患者的个性化管理方案制定、自动化随访与异常风险预警，构建基层慢性病智能管理新模式。利用人工智能技术深度优化家庭医生签约服务，实现对签约居民的智能化健康评估、个性化服务推送与精准化干预指导。全面推进“互联网+医疗健康”服务，依托统一平台为居民提供智能导诊、在线咨询、预约挂号、报告查询、用药提醒等“一站式”</w:t>
      </w:r>
      <w:r>
        <w:rPr>
          <w:rFonts w:hint="default" w:ascii="Times New Roman" w:hAnsi="Times New Roman" w:eastAsia="仿宋_GB2312" w:cs="Times New Roman"/>
          <w:b w:val="0"/>
          <w:bCs w:val="0"/>
          <w:color w:val="000000" w:themeColor="text1"/>
          <w:spacing w:val="-6"/>
          <w:kern w:val="2"/>
          <w:sz w:val="32"/>
          <w:szCs w:val="32"/>
          <w:highlight w:val="none"/>
          <w:u w:val="none"/>
          <w:lang w:val="zh-CN" w:eastAsia="zh-CN" w:bidi="ar-SA"/>
          <w14:textFill>
            <w14:solidFill>
              <w14:schemeClr w14:val="tx1"/>
            </w14:solidFill>
          </w14:textFill>
        </w:rPr>
        <w:t>便民服务，全面提升基层健康管理的智能化、个性化与精准化水平。</w:t>
      </w:r>
    </w:p>
    <w:p w14:paraId="4BEE3339">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第</w:t>
      </w:r>
      <w:r>
        <w:rPr>
          <w:rFonts w:hint="eastAsia"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七</w:t>
      </w: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节</w:t>
      </w:r>
      <w:r>
        <w:rPr>
          <w:rFonts w:hint="eastAsia" w:ascii="Times New Roman" w:hAnsi="Times New Roman" w:eastAsia="黑体" w:cs="Times New Roman"/>
          <w:b w:val="0"/>
          <w:bCs/>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强化人才核心支撑，建设高水平卫生健康专业队伍</w:t>
      </w:r>
    </w:p>
    <w:p w14:paraId="116534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坚持人才资源是第一资源，围绕卫生健康事业高质量发展的长远需求，构建体系化的人才培养、引进、使用、评价和激励机制，着力建设一支数量充足、结构合理、技术精湛、富有活力的专业化人才队伍，为各项改革发展任务提供坚实的人才保障和智力支持。</w:t>
      </w:r>
    </w:p>
    <w:p w14:paraId="6310F1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一、构建协同共育的人才培养与供给机制</w:t>
      </w:r>
    </w:p>
    <w:p w14:paraId="1651CD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（一）深化政校院协同育人模式。</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深化与新疆第二医学院等院校的战略合作，构建“政府-高校-医院-社区”四方联动的人才培养体系。政府发挥统筹与政策保障作用，高校负责定向人才培养与基础理论教育，市级医院强化临床技能与规范化培训，社区卫生服务中心作为稳定的实践教学与就业基地。聚焦全科、中医、公共卫生、康复、护理等基层紧缺专业，联合开发符合基层实际的课程与实践教学体系，实现人才“需求-培养-输送-使用”的有效闭环。</w:t>
      </w:r>
    </w:p>
    <w:p w14:paraId="0FD9FF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000000" w:themeColor="text1"/>
          <w:highlight w:val="none"/>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（二）拓展多元化人才培养路径。</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持续落实自治区农村订单定向医学生免费培养项目，做好本土化基层医学人才的源头储备。建立“需求调研-联合培养-定向输送-岗位使用-跟踪评估”的闭环管理机制，确保培养与使用无缝衔接。实施“骨干人才外出进修计划”，分批次选派业务骨干赴对口援疆省市先进医疗卫生机构进行为期3-6个月的专项进修，重点学习慢性病管理、医防融合、中医适宜技术、学科建设等实用技能与管理经验。</w:t>
      </w:r>
    </w:p>
    <w:p w14:paraId="0A39C6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二、优化以用为本的人才使用与发展环境</w:t>
      </w:r>
    </w:p>
    <w:p w14:paraId="25EBA8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（一）创新人才流动与使用机制。</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积极推行“区聘乡用、乡聘村用”等柔性用人机制，促进城市医疗集团内人才在区级医院与基层机构间的双向流动与定期轮岗，破解基层人才短缺瓶颈。配合组织、人社部门，用足用好编制资源，在2027年前分批次补充基层紧缺专业技术人员。</w:t>
      </w:r>
    </w:p>
    <w:p w14:paraId="68365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（二）深化职称评价与岗位管理改革。</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积极争取并落实基层医疗卫生机构专业技术岗位结构比例倾斜政策，优化中高级岗位设置。坚决破除职称评聘中“唯论文、唯学历”倾向，将基层服务年限、工作实绩、技术能力、群众满意度作为核心评价依据，建立符合基层特点的人才评价标准，拓宽人才职业发展空间。</w:t>
      </w:r>
    </w:p>
    <w:p w14:paraId="472B426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color w:val="000000" w:themeColor="text1"/>
          <w:highlight w:val="none"/>
          <w14:textFill>
            <w14:solidFill>
              <w14:schemeClr w14:val="tx1"/>
            </w14:solidFill>
          </w14:textFill>
        </w:rPr>
        <w:t>（</w:t>
      </w: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三）完善激励保障与荣誉体系</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积极落实“两个允许”要求，完善符合基层特点、与岗位职责、工作业绩和群众满意度紧密挂钩的薪酬分配制度。配合落实全科医生特岗计划、大学生乡村医生专项计划等国家项目的各项保障政策。建立基层医务人员荣誉表彰制度，增强职业荣誉感和吸引力。落实乡村医生各项补助政策，保障基层网底队伍稳定。</w:t>
      </w:r>
    </w:p>
    <w:p w14:paraId="7958BC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highlight w:val="none"/>
          <w:lang w:val="zh-CN" w:eastAsia="zh-CN" w:bidi="ar-SA"/>
          <w14:textFill>
            <w14:solidFill>
              <w14:schemeClr w14:val="tx1"/>
            </w14:solidFill>
          </w14:textFill>
        </w:rPr>
        <w:t>三、实施基层卫生人才能力系统提升工程</w:t>
      </w:r>
    </w:p>
    <w:p w14:paraId="675BBF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（一）建立常态化实战化培训体系。</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依托城市医疗集团和市级医院优质资源，建立“导师制”带教模式，由集团内中高级职称医师常态化驻点或结对，进行临床带教与技术指导。联合新疆第二医学院及市级医院建立基层实训基地，每年组织开展覆盖全科医生、公共卫生医师、乡村医生等各类人员的专业技能培训，重点强化常见病多发病诊疗、急症识别、传染病防控、健康管理等实战技能。</w:t>
      </w:r>
    </w:p>
    <w:p w14:paraId="623EA2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000000" w:themeColor="text1"/>
          <w:highlight w:val="none"/>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（二）强化基层特色专业团队建设。</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围绕基层医疗机构“一中心一特色”发展，通过“师带徒”、专项进修等方式，为重点发展的老年医学、儿科、中医药、康复、口腔等特色专科培养基层技术骨干，组建由全科、专科、护理、公卫人员融合的特色服务团队，提升基层专科服务能力与影响力。</w:t>
      </w:r>
    </w:p>
    <w:p w14:paraId="20EE00B3">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leftChars="0"/>
        <w:jc w:val="center"/>
        <w:textAlignment w:val="auto"/>
        <w:rPr>
          <w:rFonts w:hint="eastAsia" w:ascii="Times New Roman" w:hAnsi="Times New Roman" w:eastAsia="黑体" w:cs="Times New Roman"/>
          <w:b w:val="0"/>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黑体" w:cs="Times New Roman"/>
          <w:b w:val="0"/>
          <w:bCs/>
          <w:color w:val="000000" w:themeColor="text1"/>
          <w:kern w:val="2"/>
          <w:sz w:val="32"/>
          <w:szCs w:val="32"/>
          <w:highlight w:val="none"/>
          <w:lang w:val="en-US" w:eastAsia="zh-CN" w:bidi="ar-SA"/>
          <w14:textFill>
            <w14:solidFill>
              <w14:schemeClr w14:val="tx1"/>
            </w14:solidFill>
          </w14:textFill>
        </w:rPr>
        <w:t xml:space="preserve">第八节 </w:t>
      </w: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推进健康城市建设，提升居民健康素养</w:t>
      </w:r>
    </w:p>
    <w:p w14:paraId="4C2B43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围绕</w:t>
      </w:r>
      <w:r>
        <w:rPr>
          <w:rFonts w:hint="eastAsia"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将健康融入所有政策</w:t>
      </w:r>
      <w:r>
        <w:rPr>
          <w:rFonts w:hint="eastAsia"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u w:val="none"/>
          <w:lang w:val="zh-CN" w:eastAsia="zh-CN" w:bidi="ar-SA"/>
          <w14:textFill>
            <w14:solidFill>
              <w14:schemeClr w14:val="tx1"/>
            </w14:solidFill>
          </w14:textFill>
        </w:rPr>
        <w:t>的核心思想，构建政府主导、部门协作、社会参与的大健康治理体系，全面提升居民健康素养水平，营造全民共建共享的健康支持性环境。</w:t>
      </w:r>
    </w:p>
    <w:p w14:paraId="25092F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eastAsia"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一、</w:t>
      </w: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完善健康城市建设工作机制与治理体系。</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健全“政府主导、多部门协作、全社会参与、专业化推进”的健康城市与健康村镇长效建设工作机制，制定出台符合区域特色、操作性强的实施方案与年度计划。持续推进健康社区、健康单位（企业、机关）、健康学校、健康家庭等“健康细胞”工程建设，逐步扩大建设覆盖范围与内涵质量，营造全方位、立体化的健康支持性生活环境。参照国家健康城市评价指标体系，建立涵盖居民健康素养水平、人均预期寿命、重大慢性病过早死亡率、经常参加体育锻炼人口比例、环境空气质量等核心健康指标的区域综合监测评估体系，定期开展建设效果评估与动态优化调整。通过系统推进健康城市建设和全民健康素养提升工程，力争到2030年全区居民健康素养水平达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38</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%以上，确保创建工作科学决策、扎实推进、持续改进、成效显著。</w:t>
      </w:r>
    </w:p>
    <w:p w14:paraId="346740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二、深入开展新时代爱国卫生运动。</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坚持以人民健康为中心的发展思想，牢固树立“大卫生、大健康”理念。以推动爱国卫生运动从环境卫生治理向全面社会健康管理转变为主线，巩固国家卫生城</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市</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创建成果，全面推进健康城市、健康村镇建设</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健全长效治理机制，完善爱国卫生运动委员会工作机制，明确成员单位职责，强化跨部门协作与信息共享。推动爱国卫生工作网络向基层延伸，与基层网格化治理、公共卫生委员会建设深度融合，提升乡镇（街道）、村（社区）组织动员和服务能力。大力宣传贯彻爱国卫生相关法规条例，提升工作法治化、规范化水平。广泛倡导文明健康绿色环保的生活方式，促进人人参与、人人尽责、人人共享的健康治理新格局形成。</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坚持</w:t>
      </w: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环境治理为主，化学防制为辅</w:t>
      </w:r>
      <w:r>
        <w:rPr>
          <w:rFonts w:hint="eastAsia"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原则，完善病媒生物监测网络，实施日常防制与集中消杀相结合的科学防制策略。加强专业队伍建设，开展系统化培训，提升病媒生物防制专业水平，确保主要病媒生物密度持续达到国家C级控制标准。</w:t>
      </w:r>
    </w:p>
    <w:p w14:paraId="2782C9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三、完善健康促进体系</w:t>
      </w:r>
    </w:p>
    <w:p w14:paraId="216EF1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（一）推进健康生活方式普及</w:t>
      </w:r>
      <w:r>
        <w:rPr>
          <w:rFonts w:hint="eastAsia"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深入开展全民健康生活方式行动，持续做细做实“三减三健”专项行动。广泛宣传推广“合理膳食、适量运动、戒烟限酒、心理平衡”的健康理念。持续巩固深化无烟环境建设成果，确保全区无烟党政机关、无烟医疗卫生机构、无烟学校的建成率与巩固率保持在高水平。整合区域内医疗机构、疾控中心、健康教育专业机构、相关学（协）会力量，建立并动态更新“区级健康科普专家库与资源库”，针对青少年、老年人、妇女、慢性病患者、职业人群、流动人口等重点人群的健康需求与认知特点，开发制作一批权威准确、通俗易懂、形式新颖的定制化健康科普内容，涵盖传染病防控、妇幼保健、慢性病防治、心理健康、合理用药、急救技能、中医养生等核心主题。确保每年更新各类健康科普视频、宣传手册、折页、图文、音频等资源不少于30种，通过多种渠道广泛传播。</w:t>
      </w:r>
    </w:p>
    <w:p w14:paraId="7A02ED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楷体_GB2312" w:hAnsi="楷体_GB2312" w:eastAsia="楷体_GB2312" w:cs="楷体_GB2312"/>
          <w:b w:val="0"/>
          <w:bCs w:val="0"/>
          <w:color w:val="000000" w:themeColor="text1"/>
          <w:kern w:val="2"/>
          <w:sz w:val="32"/>
          <w:szCs w:val="32"/>
          <w:highlight w:val="none"/>
          <w:lang w:val="zh-CN" w:eastAsia="zh-CN" w:bidi="ar-SA"/>
          <w14:textFill>
            <w14:solidFill>
              <w14:schemeClr w14:val="tx1"/>
            </w14:solidFill>
          </w14:textFill>
        </w:rPr>
        <w:t>（二）深化健康服务网络与示范创建。</w:t>
      </w: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加强基层健康指导员、家庭保健员等健康服务志愿者队伍的规范化培训与管理，提升其开展社区健康服务的专业能力。协同教育部门，扎实推进心理健康科普进校园、学生健康素养监测及“健康学校”建设工作。积极推动健康社区、健康单位等“健康细胞”工程建设提质扩面。着力构建“预防-筛查-管理-治疗-康复”一体化的儿童青少年健康服务链条，探索建立儿童青少年近视、肥胖、脊柱侧弯等学生常见病及健康危险因素的整合型防控模式，促进基本公共卫生服务在重点人群中的均等化与高质量供给。积极推进老年健康服务示范创建，强化示范引领作用，在扎实推进“全国医养结合示范区”创建工作的基础上，着力培育2家服务水平高、社会评价好的“全国医养结合示范机构”，并推动实现辖区所有医养结合机构100%符合“老年友善医疗机构”建设标准。</w:t>
      </w:r>
    </w:p>
    <w:p w14:paraId="476A63EE">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left="0" w:leftChars="0" w:firstLine="0" w:firstLineChars="0"/>
        <w:jc w:val="center"/>
        <w:textAlignment w:val="auto"/>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eastAsia"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第九节</w:t>
      </w:r>
      <w:r>
        <w:rPr>
          <w:rFonts w:hint="eastAsia" w:ascii="Times New Roman" w:hAnsi="Times New Roman" w:eastAsia="黑体" w:cs="Times New Roman"/>
          <w:b w:val="0"/>
          <w:bCs/>
          <w:color w:val="000000" w:themeColor="text1"/>
          <w:kern w:val="2"/>
          <w:sz w:val="32"/>
          <w:szCs w:val="32"/>
          <w:highlight w:val="none"/>
          <w:lang w:val="en-US" w:eastAsia="zh-CN" w:bidi="ar-SA"/>
          <w14:textFill>
            <w14:solidFill>
              <w14:schemeClr w14:val="tx1"/>
            </w14:solidFill>
          </w14:textFill>
        </w:rPr>
        <w:t xml:space="preserve"> </w:t>
      </w: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加强监督执法，保障公共卫生安全</w:t>
      </w:r>
    </w:p>
    <w:p w14:paraId="3F8F32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坚持依法治理，构建专业、高效、全面的卫生健康监督执法体系，守护人民群众健康权益。到“十五五”末期，实现</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卫生健康监督执法覆盖率达100%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、重大公共卫生安全隐患处置及时率达100%、企业与群众对监督执法工作满意度达90%以上的核心目标。</w:t>
      </w:r>
    </w:p>
    <w:p w14:paraId="437E2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一、推进法治建设，筑牢执法根基</w:t>
      </w:r>
    </w:p>
    <w:p w14:paraId="0369D9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（一）完善制度体系与规范执法行为。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严格落实重大行政决策程序规定，健全合法性审查机制。制定并实施卫生监督执法行为规范，统一执法尺度与程序。强化执法稽查，建立案件质量定期评查机制，实现对执法全过程的有效监督。</w:t>
      </w:r>
    </w:p>
    <w:p w14:paraId="6D682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（二）提升队伍能力与深化普法宣传。</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实施执法人员“能力提升工程”，建立“基础培训+专项实训+技能竞赛”培养体系，每年组织执法技能考核不少于1次，考核合格率低于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0%的人员进行补训。鼓励执法人员参加法律职业资格考试，到20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年末，具备法律职业资格的执法人员占比提升至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0%以上。在全系统深入开展法治宣传教育，增强医疗卫生机构及其从业人员依法执业意识。</w:t>
      </w:r>
    </w:p>
    <w:p w14:paraId="2F1F8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highlight w:val="none"/>
          <w14:textFill>
            <w14:solidFill>
              <w14:schemeClr w14:val="tx1"/>
            </w14:solidFill>
          </w14:textFill>
        </w:rPr>
      </w:pPr>
      <w:r>
        <w:rPr>
          <w:rFonts w:hint="default" w:ascii="黑体" w:hAnsi="黑体" w:eastAsia="黑体" w:cs="黑体"/>
          <w:color w:val="000000" w:themeColor="text1"/>
          <w:sz w:val="32"/>
          <w:szCs w:val="32"/>
          <w:highlight w:val="none"/>
          <w14:textFill>
            <w14:solidFill>
              <w14:schemeClr w14:val="tx1"/>
            </w14:solidFill>
          </w14:textFill>
        </w:rPr>
        <w:t>二、强化重点领域监督执法</w:t>
      </w:r>
    </w:p>
    <w:p w14:paraId="2C0B3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（一）强化职业卫生监督</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p>
    <w:p w14:paraId="2779F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1.压实企业主体责任。按照职业病危害严重程度分类落实检测要求：危害严重的用人单位每年至少开展1次职业病危害因素检测，危害一般的每3年至少开展1次。到202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年末，实现重点企业职业病危害档案建档率100%。建立防护用品“采购验收—发放使用—报废回收”全过程追溯制度，对违规企业依法实施联合惩戒。</w:t>
      </w:r>
    </w:p>
    <w:p w14:paraId="1F345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2.实施分级分类监管。 根据用人单位职业病危害综合风险类别实行差异化监管：对甲类（低风险）单位不主动实施现场检查，做到“无事不扰”；对乙类（中风险）单位开展常态化监督，合理降低抽查比例；对丙类（高风险）单位合理提高抽查比例，实施重点监督。</w:t>
      </w:r>
    </w:p>
    <w:p w14:paraId="50A46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（二）优化学校卫生监督</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建立健全与教育、市场监管等部门的联合执法与信息共享机制。完善学校卫生监督信息数据库，实现数据实时共享与风险预警。重点加强对学校饮用水安全、传染病防控、教学环境卫生等环节的监管。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探索学校卫生在线监管系统的建设与应用，构建远程监控、智能预警的监管新模式。</w:t>
      </w:r>
    </w:p>
    <w:p w14:paraId="1F390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highlight w:val="none"/>
          <w14:textFill>
            <w14:solidFill>
              <w14:schemeClr w14:val="tx1"/>
            </w14:solidFill>
          </w14:textFill>
        </w:rPr>
        <w:t>加强生活饮用水卫生监督。</w:t>
      </w:r>
      <w:bookmarkStart w:id="12" w:name="OLE_LINK3"/>
      <w:r>
        <w:rPr>
          <w:rFonts w:hint="default" w:ascii="Times New Roman" w:hAnsi="Times New Roman" w:eastAsia="仿宋_GB2312" w:cs="Times New Roman"/>
          <w:color w:val="000000" w:themeColor="text1"/>
          <w:sz w:val="32"/>
          <w:szCs w:val="32"/>
          <w:highlight w:val="none"/>
          <w14:textFill>
            <w14:solidFill>
              <w14:schemeClr w14:val="tx1"/>
            </w14:solidFill>
          </w14:textFill>
        </w:rPr>
        <w:t>以保障城乡居民饮水安全为核心，聚焦集中式供水、二次供水、涉水产品等关键环节，健全全流程全覆盖监管体系，加大执法监管与科普宣传力度，提升饮用水卫生监管能力，持续保障辖区水质安全，筑牢居民饮水健康防线。</w:t>
      </w:r>
    </w:p>
    <w:bookmarkEnd w:id="12"/>
    <w:p w14:paraId="5D47B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三、优化营商环境</w:t>
      </w:r>
      <w:r>
        <w:rPr>
          <w:rFonts w:hint="eastAsia" w:ascii="黑体" w:hAnsi="黑体" w:eastAsia="黑体" w:cs="黑体"/>
          <w:color w:val="000000" w:themeColor="text1"/>
          <w:sz w:val="32"/>
          <w:szCs w:val="32"/>
          <w:highlight w:val="none"/>
          <w:lang w:eastAsia="zh-CN"/>
          <w14:textFill>
            <w14:solidFill>
              <w14:schemeClr w14:val="tx1"/>
            </w14:solidFill>
          </w14:textFill>
        </w:rPr>
        <w:t>，</w:t>
      </w:r>
      <w:r>
        <w:rPr>
          <w:rFonts w:hint="eastAsia" w:ascii="黑体" w:hAnsi="黑体" w:eastAsia="黑体" w:cs="黑体"/>
          <w:color w:val="000000" w:themeColor="text1"/>
          <w:sz w:val="32"/>
          <w:szCs w:val="32"/>
          <w:highlight w:val="none"/>
          <w:lang w:val="en-US" w:eastAsia="zh-CN"/>
          <w14:textFill>
            <w14:solidFill>
              <w14:schemeClr w14:val="tx1"/>
            </w14:solidFill>
          </w14:textFill>
        </w:rPr>
        <w:t>提升</w:t>
      </w:r>
      <w:r>
        <w:rPr>
          <w:rFonts w:hint="eastAsia" w:ascii="黑体" w:hAnsi="黑体" w:eastAsia="黑体" w:cs="黑体"/>
          <w:color w:val="000000" w:themeColor="text1"/>
          <w:sz w:val="32"/>
          <w:szCs w:val="32"/>
          <w:highlight w:val="none"/>
          <w14:textFill>
            <w14:solidFill>
              <w14:schemeClr w14:val="tx1"/>
            </w14:solidFill>
          </w14:textFill>
        </w:rPr>
        <w:t>服务效能</w:t>
      </w:r>
    </w:p>
    <w:p w14:paraId="6128F9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（一）创新监管方式与规范入企检查。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全面深化“扫码入企”等举措，推动执法检查规范化、透明化。加强部门间数据共享与协同，有效减少重复检查。建立健全基于企业信用风险分类的精准监管机制，实现对守法者“无事不扰”。</w:t>
      </w:r>
    </w:p>
    <w:p w14:paraId="236CA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（二）提升服务效能与健全反馈机制。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深化“放管服”改革，推动“新生儿一件事”“开理发店一件事”等“高效办成一件事”场景落地见效。建立健全统一的投诉举报平台与高效处理反馈机制，及时回应和解决企业、群众合理诉求。定期开展企业满意度调查，针对性改进执法服务，力争“十五五”末企业满意度达到90%以上。</w:t>
      </w:r>
    </w:p>
    <w:p w14:paraId="554C4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四、强化行业治理与信用监管</w:t>
      </w:r>
    </w:p>
    <w:p w14:paraId="77AC8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（一）构建以信用为基础的新型监管机制。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建立健全医疗卫生行业信用评价体系，依据信用等级实施分级分类监管。强化信用信息在行政许可、监督执法、采购招标等环节的应用，形成“一处失信、处处受限”的约束机制。</w:t>
      </w:r>
    </w:p>
    <w:p w14:paraId="16735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（二）加强行业自律与纠纷化解。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引导医疗机构落实依法执业主体责任，规范临床诊疗与用药行为，强化医疗质量安全核心制度执行。完善医疗纠纷预防与多元化解机制，畅通投诉渠道，规范投诉处理流程，推动纠纷调解与医疗责任风险分担机制有效衔接，切实保障医患双方合法权益。</w:t>
      </w:r>
    </w:p>
    <w:p w14:paraId="78BA4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）强化常态监管规范执业行为。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加强对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辖区各级各类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医疗机构执业行为的常态化监管，重点规范诊疗资质、院感防控、医疗文书管理与抗菌药物使用，确保医疗服务规范有序、安全高效运行。</w:t>
      </w:r>
    </w:p>
    <w:bookmarkEnd w:id="10"/>
    <w:p w14:paraId="61A32E90">
      <w:pPr>
        <w:rPr>
          <w:rFonts w:hint="eastAsia"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br w:type="page"/>
      </w:r>
    </w:p>
    <w:p w14:paraId="74FF0600">
      <w:pPr>
        <w:pStyle w:val="2"/>
        <w:keepNext w:val="0"/>
        <w:keepLines w:val="0"/>
        <w:pageBreakBefore w:val="0"/>
        <w:widowControl w:val="0"/>
        <w:kinsoku/>
        <w:wordWrap/>
        <w:overflowPunct w:val="0"/>
        <w:topLinePunct w:val="0"/>
        <w:autoSpaceDE/>
        <w:autoSpaceDN/>
        <w:bidi w:val="0"/>
        <w:adjustRightInd/>
        <w:snapToGrid/>
        <w:spacing w:before="313" w:beforeLines="100" w:after="313" w:afterLines="100" w:line="560" w:lineRule="exact"/>
        <w:ind w:firstLine="0" w:firstLineChars="0"/>
        <w:jc w:val="center"/>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 xml:space="preserve">第五章 </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保障措施与实施机制</w:t>
      </w:r>
    </w:p>
    <w:p w14:paraId="0BCFF3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一、加强组织领导</w:t>
      </w:r>
    </w:p>
    <w:p w14:paraId="31A0BA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坚持党对卫生健康事业发展的领导，坚决贯彻落实党中央对卫生健康改革发展的各项决策部署。将本规划主要目标和指标纳入全区国民经济和社会发展规划，制定年度目标和任务清单，认真组织落实。主动加强与医保、发改、财政、人社等部门的沟通协调，推动规划重点任务有效落地。建立健康影响评估机制，推动健康融入所有政策。</w:t>
      </w:r>
    </w:p>
    <w:p w14:paraId="0C7E82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二、完善投入机制</w:t>
      </w:r>
    </w:p>
    <w:p w14:paraId="57A13B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建立政府投入为主导、社会资本积极参与的多元投入机制。积极争取中央和自治区项目资金，严格落实政府卫生投入政策，确保卫生健康投入与经济社会发展水平相适应。优化财政支出结构，重点支持基层医疗机构能力建设、公共卫生服务体系完善、中医药传承创新发展等领域。鼓励和引导社会资本参与健康服务供给。建立健全资金使用绩效评估机制，提高资金使用效益。</w:t>
      </w:r>
    </w:p>
    <w:p w14:paraId="468C52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三、加强人才队伍</w:t>
      </w:r>
    </w:p>
    <w:p w14:paraId="323033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用好用足现有编制资源，分批次招聘补充基层紧缺专业人才。依托城市医疗集团和上级医院资源，通过“师带徒”、定向进修、技能培训等方式，提升现有人员专业能力。全面落实“两个允许”政策，完善绩效工资分配机制，向一线岗位、紧缺岗位和业绩突出人员倾斜。落实乡村医生各项补助政策，稳定基层网底队伍。</w:t>
      </w:r>
    </w:p>
    <w:p w14:paraId="262C18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四、加强监测评估</w:t>
      </w:r>
    </w:p>
    <w:p w14:paraId="7A3BD7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建立规划监测评估机制，定期对规划实施情况开展评估，特别是对重大项目的推进落实情况，建立信息公开制度，接受社会监督。2028年开展规划中期评估，全面检视各项指标和重点任务完成进度，分析存在问题，提出对策建议。完善规划终期评估制度，对监测评估中发现的问题及时研究解决，确保规划目标顺利实现。</w:t>
      </w:r>
    </w:p>
    <w:p w14:paraId="020E6A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highlight w:val="none"/>
          <w:lang w:val="zh-CN" w:eastAsia="zh-CN" w:bidi="ar-SA"/>
          <w14:textFill>
            <w14:solidFill>
              <w14:schemeClr w14:val="tx1"/>
            </w14:solidFill>
          </w14:textFill>
        </w:rPr>
        <w:t>五、深化宣传引导</w:t>
      </w:r>
    </w:p>
    <w:p w14:paraId="0FFA78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创新健康宣传方式，运用新媒体平台开展健康科普，提升居民健康素养。深入开展健康促进活动，打造健康科普品牌。完善公众参与机制，引导群众参与健康治理。畅通民意反映渠道，及时回应社会关切。倡导“每个人是自己健康第一责任人”的理念，形成共建共享的健康治理格局。</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Calibri Light">
    <w:altName w:val="Times New Roman"/>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altName w:val="Noto Naskh Arabic"/>
    <w:panose1 w:val="020B0502040204020203"/>
    <w:charset w:val="00"/>
    <w:family w:val="auto"/>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5B93">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ECFE9">
                          <w:pPr>
                            <w:pStyle w:val="10"/>
                            <w:rPr>
                              <w:rFonts w:hint="default" w:ascii="Times New Roman" w:hAnsi="Times New Roman" w:cs="Times New Roman"/>
                              <w:sz w:val="28"/>
                              <w:szCs w:val="28"/>
                              <w:lang w:val="en-US"/>
                            </w:rPr>
                          </w:pPr>
                          <w:r>
                            <w:rPr>
                              <w:rFonts w:hint="default" w:ascii="Times New Roman" w:hAnsi="Times New Roman" w:cs="Times New Roman"/>
                              <w:sz w:val="28"/>
                              <w:szCs w:val="28"/>
                              <w:lang w:val="en-US"/>
                            </w:rPr>
                            <w:fldChar w:fldCharType="begin"/>
                          </w:r>
                          <w:r>
                            <w:rPr>
                              <w:rFonts w:hint="default" w:ascii="Times New Roman" w:hAnsi="Times New Roman" w:cs="Times New Roman"/>
                              <w:sz w:val="28"/>
                              <w:szCs w:val="28"/>
                              <w:lang w:val="en-US"/>
                            </w:rPr>
                            <w:instrText xml:space="preserve"> PAGE \* MERGEFORMAT </w:instrText>
                          </w:r>
                          <w:r>
                            <w:rPr>
                              <w:rFonts w:hint="default" w:ascii="Times New Roman" w:hAnsi="Times New Roman" w:cs="Times New Roman"/>
                              <w:sz w:val="28"/>
                              <w:szCs w:val="28"/>
                              <w:lang w:val="en-US"/>
                            </w:rPr>
                            <w:fldChar w:fldCharType="separate"/>
                          </w:r>
                          <w:r>
                            <w:rPr>
                              <w:rFonts w:hint="default" w:ascii="Times New Roman" w:hAnsi="Times New Roman" w:cs="Times New Roman"/>
                              <w:sz w:val="28"/>
                              <w:szCs w:val="28"/>
                              <w:lang w:val="en-US"/>
                            </w:rPr>
                            <w:t>- 1 -</w:t>
                          </w:r>
                          <w:r>
                            <w:rPr>
                              <w:rFonts w:hint="default" w:ascii="Times New Roman" w:hAnsi="Times New Roman" w:cs="Times New Roman"/>
                              <w:sz w:val="28"/>
                              <w:szCs w:val="2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8ECFE9">
                    <w:pPr>
                      <w:pStyle w:val="10"/>
                      <w:rPr>
                        <w:rFonts w:hint="default" w:ascii="Times New Roman" w:hAnsi="Times New Roman" w:cs="Times New Roman"/>
                        <w:sz w:val="28"/>
                        <w:szCs w:val="28"/>
                        <w:lang w:val="en-US"/>
                      </w:rPr>
                    </w:pPr>
                    <w:r>
                      <w:rPr>
                        <w:rFonts w:hint="default" w:ascii="Times New Roman" w:hAnsi="Times New Roman" w:cs="Times New Roman"/>
                        <w:sz w:val="28"/>
                        <w:szCs w:val="28"/>
                        <w:lang w:val="en-US"/>
                      </w:rPr>
                      <w:fldChar w:fldCharType="begin"/>
                    </w:r>
                    <w:r>
                      <w:rPr>
                        <w:rFonts w:hint="default" w:ascii="Times New Roman" w:hAnsi="Times New Roman" w:cs="Times New Roman"/>
                        <w:sz w:val="28"/>
                        <w:szCs w:val="28"/>
                        <w:lang w:val="en-US"/>
                      </w:rPr>
                      <w:instrText xml:space="preserve"> PAGE \* MERGEFORMAT </w:instrText>
                    </w:r>
                    <w:r>
                      <w:rPr>
                        <w:rFonts w:hint="default" w:ascii="Times New Roman" w:hAnsi="Times New Roman" w:cs="Times New Roman"/>
                        <w:sz w:val="28"/>
                        <w:szCs w:val="28"/>
                        <w:lang w:val="en-US"/>
                      </w:rPr>
                      <w:fldChar w:fldCharType="separate"/>
                    </w:r>
                    <w:r>
                      <w:rPr>
                        <w:rFonts w:hint="default" w:ascii="Times New Roman" w:hAnsi="Times New Roman" w:cs="Times New Roman"/>
                        <w:sz w:val="28"/>
                        <w:szCs w:val="28"/>
                        <w:lang w:val="en-US"/>
                      </w:rPr>
                      <w:t>- 1 -</w:t>
                    </w:r>
                    <w:r>
                      <w:rPr>
                        <w:rFonts w:hint="default" w:ascii="Times New Roman" w:hAnsi="Times New Roman" w:cs="Times New Roman"/>
                        <w:sz w:val="28"/>
                        <w:szCs w:val="28"/>
                        <w:lang w:val="en-US"/>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8EA4F">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88EA4F">
                    <w:pPr>
                      <w:pStyle w:val="10"/>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2656840</wp:posOffset>
              </wp:positionH>
              <wp:positionV relativeFrom="paragraph">
                <wp:posOffset>-123190</wp:posOffset>
              </wp:positionV>
              <wp:extent cx="1828800" cy="2774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77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0985E">
                          <w:pPr>
                            <w:pStyle w:val="10"/>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9.2pt;margin-top:-9.7pt;height:21.85pt;width:144pt;mso-position-horizontal-relative:margin;mso-wrap-style:none;z-index:251659264;mso-width-relative:page;mso-height-relative:page;" filled="f" stroked="f" coordsize="21600,21600" o:gfxdata="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R5k7NkAAAAKAQAADwAAAAAAAAABACAAAAAiAAAAZHJzL2Rvd25y&#10;ZXYueG1sUEsBAhQAFAAAAAgAh07iQA3xSgE2AgAAYAQAAA4AAAAAAAAAAQAgAAAAKAEAAGRycy9l&#10;Mm9Eb2MueG1sUEsFBgAAAAAGAAYAWQEAANAFAAAAAA==&#10;">
              <v:fill on="f" focussize="0,0"/>
              <v:stroke on="f" weight="0.5pt"/>
              <v:imagedata o:title=""/>
              <o:lock v:ext="edit" aspectratio="f"/>
              <v:textbox inset="0mm,0mm,0mm,0mm">
                <w:txbxContent>
                  <w:p w14:paraId="5600985E">
                    <w:pPr>
                      <w:pStyle w:val="10"/>
                      <w:rPr>
                        <w:rFonts w:hint="default" w:ascii="Times New Roman" w:hAnsi="Times New Roman" w:cs="Times New Roman"/>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23978"/>
    <w:multiLevelType w:val="singleLevel"/>
    <w:tmpl w:val="1C423978"/>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3830"/>
    <w:rsid w:val="0018099E"/>
    <w:rsid w:val="002E21DB"/>
    <w:rsid w:val="00330861"/>
    <w:rsid w:val="003675E8"/>
    <w:rsid w:val="003F7EF7"/>
    <w:rsid w:val="0044437F"/>
    <w:rsid w:val="004B3D0A"/>
    <w:rsid w:val="004C398A"/>
    <w:rsid w:val="00500138"/>
    <w:rsid w:val="005239FC"/>
    <w:rsid w:val="00656AB2"/>
    <w:rsid w:val="006E6D63"/>
    <w:rsid w:val="007006C6"/>
    <w:rsid w:val="00770051"/>
    <w:rsid w:val="00824069"/>
    <w:rsid w:val="00902C2A"/>
    <w:rsid w:val="00960906"/>
    <w:rsid w:val="009C15CF"/>
    <w:rsid w:val="00A42231"/>
    <w:rsid w:val="00A6531D"/>
    <w:rsid w:val="00A962A2"/>
    <w:rsid w:val="00BB52C2"/>
    <w:rsid w:val="00CD2FDE"/>
    <w:rsid w:val="00D86DF1"/>
    <w:rsid w:val="00DB7D76"/>
    <w:rsid w:val="00EB1C0E"/>
    <w:rsid w:val="010F1DA1"/>
    <w:rsid w:val="01176EA7"/>
    <w:rsid w:val="012D42FD"/>
    <w:rsid w:val="01305281"/>
    <w:rsid w:val="01343C87"/>
    <w:rsid w:val="013B3DC0"/>
    <w:rsid w:val="013B4944"/>
    <w:rsid w:val="01467425"/>
    <w:rsid w:val="014D6DB0"/>
    <w:rsid w:val="014F22B3"/>
    <w:rsid w:val="016112D3"/>
    <w:rsid w:val="016908DE"/>
    <w:rsid w:val="016A6360"/>
    <w:rsid w:val="01853E11"/>
    <w:rsid w:val="01941722"/>
    <w:rsid w:val="01BB2C67"/>
    <w:rsid w:val="01CC715B"/>
    <w:rsid w:val="01CE0603"/>
    <w:rsid w:val="01D14E0A"/>
    <w:rsid w:val="01D2288C"/>
    <w:rsid w:val="01DE4120"/>
    <w:rsid w:val="01E86C3F"/>
    <w:rsid w:val="01F01E3C"/>
    <w:rsid w:val="01F40D1D"/>
    <w:rsid w:val="01FF4655"/>
    <w:rsid w:val="02140D77"/>
    <w:rsid w:val="022D3E9F"/>
    <w:rsid w:val="023128A5"/>
    <w:rsid w:val="02320E0B"/>
    <w:rsid w:val="023215B6"/>
    <w:rsid w:val="02402EC0"/>
    <w:rsid w:val="02433E45"/>
    <w:rsid w:val="02541B61"/>
    <w:rsid w:val="02574CE3"/>
    <w:rsid w:val="0277301A"/>
    <w:rsid w:val="028A67B7"/>
    <w:rsid w:val="028D2FBF"/>
    <w:rsid w:val="028D51BD"/>
    <w:rsid w:val="029C7664"/>
    <w:rsid w:val="029D79D6"/>
    <w:rsid w:val="02B367FB"/>
    <w:rsid w:val="02B50900"/>
    <w:rsid w:val="02B56978"/>
    <w:rsid w:val="02B66382"/>
    <w:rsid w:val="02C34EEE"/>
    <w:rsid w:val="02F8266E"/>
    <w:rsid w:val="02FE031F"/>
    <w:rsid w:val="032875BA"/>
    <w:rsid w:val="032D3A42"/>
    <w:rsid w:val="033D1ADE"/>
    <w:rsid w:val="03456EEA"/>
    <w:rsid w:val="03457CFC"/>
    <w:rsid w:val="03463349"/>
    <w:rsid w:val="034D3112"/>
    <w:rsid w:val="035166A0"/>
    <w:rsid w:val="03552A08"/>
    <w:rsid w:val="03697CD3"/>
    <w:rsid w:val="036B1328"/>
    <w:rsid w:val="0376513B"/>
    <w:rsid w:val="037C4E46"/>
    <w:rsid w:val="039E0A71"/>
    <w:rsid w:val="03A65C8A"/>
    <w:rsid w:val="03BC36B1"/>
    <w:rsid w:val="03C71A42"/>
    <w:rsid w:val="03CB2647"/>
    <w:rsid w:val="03D8291E"/>
    <w:rsid w:val="03E4576F"/>
    <w:rsid w:val="03E9547A"/>
    <w:rsid w:val="03ED3E80"/>
    <w:rsid w:val="03F70F0C"/>
    <w:rsid w:val="03F82B74"/>
    <w:rsid w:val="040E27E3"/>
    <w:rsid w:val="04122DBB"/>
    <w:rsid w:val="041F20D1"/>
    <w:rsid w:val="04347369"/>
    <w:rsid w:val="043964FE"/>
    <w:rsid w:val="044A6798"/>
    <w:rsid w:val="04602B3A"/>
    <w:rsid w:val="04647342"/>
    <w:rsid w:val="046B474E"/>
    <w:rsid w:val="04975000"/>
    <w:rsid w:val="049B749C"/>
    <w:rsid w:val="049F3CA4"/>
    <w:rsid w:val="04A14C29"/>
    <w:rsid w:val="04A3117E"/>
    <w:rsid w:val="04A647CA"/>
    <w:rsid w:val="04AF72D6"/>
    <w:rsid w:val="04B03BBE"/>
    <w:rsid w:val="04BB1F4F"/>
    <w:rsid w:val="04C9340D"/>
    <w:rsid w:val="04CE0F70"/>
    <w:rsid w:val="04D96BC0"/>
    <w:rsid w:val="04E1218F"/>
    <w:rsid w:val="04E7565C"/>
    <w:rsid w:val="04F930B9"/>
    <w:rsid w:val="0533072D"/>
    <w:rsid w:val="054908B9"/>
    <w:rsid w:val="054B711F"/>
    <w:rsid w:val="055424CE"/>
    <w:rsid w:val="05575651"/>
    <w:rsid w:val="05624EF4"/>
    <w:rsid w:val="05770503"/>
    <w:rsid w:val="058663AA"/>
    <w:rsid w:val="058A1323"/>
    <w:rsid w:val="059B4E40"/>
    <w:rsid w:val="05AF5900"/>
    <w:rsid w:val="05B53BA6"/>
    <w:rsid w:val="05B8696F"/>
    <w:rsid w:val="05C86C09"/>
    <w:rsid w:val="05CB3411"/>
    <w:rsid w:val="05D11A97"/>
    <w:rsid w:val="05F61781"/>
    <w:rsid w:val="05FA06DD"/>
    <w:rsid w:val="05FD5DDE"/>
    <w:rsid w:val="0616478A"/>
    <w:rsid w:val="061A3190"/>
    <w:rsid w:val="06254DA5"/>
    <w:rsid w:val="062724A6"/>
    <w:rsid w:val="062B0EAC"/>
    <w:rsid w:val="063E7ECD"/>
    <w:rsid w:val="0650366A"/>
    <w:rsid w:val="065906F6"/>
    <w:rsid w:val="06675F47"/>
    <w:rsid w:val="067601CC"/>
    <w:rsid w:val="069114AA"/>
    <w:rsid w:val="069408DC"/>
    <w:rsid w:val="0695635D"/>
    <w:rsid w:val="06A00E6B"/>
    <w:rsid w:val="06A76277"/>
    <w:rsid w:val="06A81AFB"/>
    <w:rsid w:val="06C9422E"/>
    <w:rsid w:val="06EE226F"/>
    <w:rsid w:val="06FE6C86"/>
    <w:rsid w:val="06FF7F8B"/>
    <w:rsid w:val="07017C0B"/>
    <w:rsid w:val="071B4038"/>
    <w:rsid w:val="071C5217"/>
    <w:rsid w:val="0735782B"/>
    <w:rsid w:val="07366B87"/>
    <w:rsid w:val="073935E8"/>
    <w:rsid w:val="07441979"/>
    <w:rsid w:val="07517391"/>
    <w:rsid w:val="076034A7"/>
    <w:rsid w:val="076653B1"/>
    <w:rsid w:val="078A2FDA"/>
    <w:rsid w:val="07C40FCD"/>
    <w:rsid w:val="07CF735F"/>
    <w:rsid w:val="07E44C99"/>
    <w:rsid w:val="07E51502"/>
    <w:rsid w:val="07F17513"/>
    <w:rsid w:val="07F46FEF"/>
    <w:rsid w:val="07F7141C"/>
    <w:rsid w:val="07F8491F"/>
    <w:rsid w:val="08096ED2"/>
    <w:rsid w:val="080F2346"/>
    <w:rsid w:val="0813333D"/>
    <w:rsid w:val="081F5E64"/>
    <w:rsid w:val="082D517A"/>
    <w:rsid w:val="08475D24"/>
    <w:rsid w:val="084A6CA8"/>
    <w:rsid w:val="084D1E2B"/>
    <w:rsid w:val="08535C11"/>
    <w:rsid w:val="086B4C5E"/>
    <w:rsid w:val="086F1AAE"/>
    <w:rsid w:val="08830107"/>
    <w:rsid w:val="08A90D2D"/>
    <w:rsid w:val="08BC3764"/>
    <w:rsid w:val="08BD11E5"/>
    <w:rsid w:val="08BF0E65"/>
    <w:rsid w:val="08DE171A"/>
    <w:rsid w:val="08E35BA2"/>
    <w:rsid w:val="08E43190"/>
    <w:rsid w:val="08FA57C7"/>
    <w:rsid w:val="09077F17"/>
    <w:rsid w:val="09110C6F"/>
    <w:rsid w:val="091266F1"/>
    <w:rsid w:val="091D4A82"/>
    <w:rsid w:val="091D6C80"/>
    <w:rsid w:val="092C3A18"/>
    <w:rsid w:val="093A65B1"/>
    <w:rsid w:val="095429DE"/>
    <w:rsid w:val="09565EE1"/>
    <w:rsid w:val="09622C8A"/>
    <w:rsid w:val="09654E76"/>
    <w:rsid w:val="09817F9E"/>
    <w:rsid w:val="098C4D36"/>
    <w:rsid w:val="09A017D8"/>
    <w:rsid w:val="09AC306C"/>
    <w:rsid w:val="09B329F7"/>
    <w:rsid w:val="09B65D24"/>
    <w:rsid w:val="09C1778E"/>
    <w:rsid w:val="09D45204"/>
    <w:rsid w:val="09EE7359"/>
    <w:rsid w:val="09FFD1D1"/>
    <w:rsid w:val="0A0D1E0C"/>
    <w:rsid w:val="0A15123A"/>
    <w:rsid w:val="0A193C90"/>
    <w:rsid w:val="0A1D1456"/>
    <w:rsid w:val="0A1E20A6"/>
    <w:rsid w:val="0A4C18F1"/>
    <w:rsid w:val="0A5A6688"/>
    <w:rsid w:val="0A5B410A"/>
    <w:rsid w:val="0A5C1B8B"/>
    <w:rsid w:val="0A603E15"/>
    <w:rsid w:val="0A696CA3"/>
    <w:rsid w:val="0A7A49BE"/>
    <w:rsid w:val="0A8F10E0"/>
    <w:rsid w:val="0A922065"/>
    <w:rsid w:val="0A952FEA"/>
    <w:rsid w:val="0AA23C86"/>
    <w:rsid w:val="0AAC0A11"/>
    <w:rsid w:val="0AAF1847"/>
    <w:rsid w:val="0AB70FA0"/>
    <w:rsid w:val="0AC17331"/>
    <w:rsid w:val="0AED4CFD"/>
    <w:rsid w:val="0AEF0200"/>
    <w:rsid w:val="0AF44688"/>
    <w:rsid w:val="0AFD1714"/>
    <w:rsid w:val="0AFD7516"/>
    <w:rsid w:val="0B0264D2"/>
    <w:rsid w:val="0B0C55A3"/>
    <w:rsid w:val="0B191045"/>
    <w:rsid w:val="0B231954"/>
    <w:rsid w:val="0B267056"/>
    <w:rsid w:val="0B310B66"/>
    <w:rsid w:val="0B3C7947"/>
    <w:rsid w:val="0B5E04B4"/>
    <w:rsid w:val="0B6039B7"/>
    <w:rsid w:val="0B635D6A"/>
    <w:rsid w:val="0B657E3F"/>
    <w:rsid w:val="0B6658C1"/>
    <w:rsid w:val="0B6C304D"/>
    <w:rsid w:val="0B7A3F1D"/>
    <w:rsid w:val="0B810310"/>
    <w:rsid w:val="0B8F3202"/>
    <w:rsid w:val="0BA12222"/>
    <w:rsid w:val="0BAC3645"/>
    <w:rsid w:val="0BC0179A"/>
    <w:rsid w:val="0BC301D9"/>
    <w:rsid w:val="0BD26275"/>
    <w:rsid w:val="0BE53C10"/>
    <w:rsid w:val="0C040028"/>
    <w:rsid w:val="0C0A15BD"/>
    <w:rsid w:val="0C12371B"/>
    <w:rsid w:val="0C1A6669"/>
    <w:rsid w:val="0C2030B4"/>
    <w:rsid w:val="0C2C4385"/>
    <w:rsid w:val="0C3F0E27"/>
    <w:rsid w:val="0C4A1EDF"/>
    <w:rsid w:val="0C5C1C12"/>
    <w:rsid w:val="0C7D22B4"/>
    <w:rsid w:val="0C7F638D"/>
    <w:rsid w:val="0C8A5A23"/>
    <w:rsid w:val="0C9040A9"/>
    <w:rsid w:val="0CA11DC5"/>
    <w:rsid w:val="0CA61AD0"/>
    <w:rsid w:val="0CA907DA"/>
    <w:rsid w:val="0CB145DE"/>
    <w:rsid w:val="0CB73F69"/>
    <w:rsid w:val="0CDB522D"/>
    <w:rsid w:val="0CE67036"/>
    <w:rsid w:val="0CF5184F"/>
    <w:rsid w:val="0CFF215F"/>
    <w:rsid w:val="0D130DFF"/>
    <w:rsid w:val="0D134413"/>
    <w:rsid w:val="0D157B86"/>
    <w:rsid w:val="0D185287"/>
    <w:rsid w:val="0D23491D"/>
    <w:rsid w:val="0D296826"/>
    <w:rsid w:val="0D2B1D29"/>
    <w:rsid w:val="0D4A25DE"/>
    <w:rsid w:val="0D616980"/>
    <w:rsid w:val="0D896A37"/>
    <w:rsid w:val="0DA67DDF"/>
    <w:rsid w:val="0DB4420C"/>
    <w:rsid w:val="0DB6770F"/>
    <w:rsid w:val="0DC30FA3"/>
    <w:rsid w:val="0DCD3AB1"/>
    <w:rsid w:val="0DD002B9"/>
    <w:rsid w:val="0DD15D3A"/>
    <w:rsid w:val="0DD856C5"/>
    <w:rsid w:val="0DD878C3"/>
    <w:rsid w:val="0DDB40CB"/>
    <w:rsid w:val="0DDE5050"/>
    <w:rsid w:val="0DE04CD0"/>
    <w:rsid w:val="0DEA55DF"/>
    <w:rsid w:val="0DEB68E4"/>
    <w:rsid w:val="0DF41772"/>
    <w:rsid w:val="0E124C7E"/>
    <w:rsid w:val="0E160A2D"/>
    <w:rsid w:val="0E1D4B35"/>
    <w:rsid w:val="0E265444"/>
    <w:rsid w:val="0E3E5F3C"/>
    <w:rsid w:val="0E4D3106"/>
    <w:rsid w:val="0E7145BF"/>
    <w:rsid w:val="0E760C28"/>
    <w:rsid w:val="0E764608"/>
    <w:rsid w:val="0E806DD8"/>
    <w:rsid w:val="0E856AE3"/>
    <w:rsid w:val="0E8954E9"/>
    <w:rsid w:val="0E8B09EC"/>
    <w:rsid w:val="0E8F73F2"/>
    <w:rsid w:val="0EAF7927"/>
    <w:rsid w:val="0EBE68BC"/>
    <w:rsid w:val="0EC465C7"/>
    <w:rsid w:val="0EC9697C"/>
    <w:rsid w:val="0ECD6ED7"/>
    <w:rsid w:val="0ED46862"/>
    <w:rsid w:val="0ED85EC8"/>
    <w:rsid w:val="0EE31391"/>
    <w:rsid w:val="0EF6229A"/>
    <w:rsid w:val="0F02192F"/>
    <w:rsid w:val="0F060336"/>
    <w:rsid w:val="0F0F1F61"/>
    <w:rsid w:val="0F2412A4"/>
    <w:rsid w:val="0F4672D5"/>
    <w:rsid w:val="0F4A548B"/>
    <w:rsid w:val="0F533C3C"/>
    <w:rsid w:val="0F6636DA"/>
    <w:rsid w:val="0F6C7CDA"/>
    <w:rsid w:val="0F73799F"/>
    <w:rsid w:val="0F803E6A"/>
    <w:rsid w:val="0F856685"/>
    <w:rsid w:val="0FC306E9"/>
    <w:rsid w:val="0FD65B13"/>
    <w:rsid w:val="0FE2319C"/>
    <w:rsid w:val="0FE54120"/>
    <w:rsid w:val="1000054D"/>
    <w:rsid w:val="10090E5D"/>
    <w:rsid w:val="101D58FF"/>
    <w:rsid w:val="10273C90"/>
    <w:rsid w:val="1028527C"/>
    <w:rsid w:val="10331CA1"/>
    <w:rsid w:val="1058445F"/>
    <w:rsid w:val="1059665E"/>
    <w:rsid w:val="105B53E4"/>
    <w:rsid w:val="106946FA"/>
    <w:rsid w:val="106C2D6C"/>
    <w:rsid w:val="10755F8E"/>
    <w:rsid w:val="108C5BB3"/>
    <w:rsid w:val="109045B9"/>
    <w:rsid w:val="10AE3B69"/>
    <w:rsid w:val="10BC0900"/>
    <w:rsid w:val="10D73F5D"/>
    <w:rsid w:val="10DB11B5"/>
    <w:rsid w:val="10DF7BBC"/>
    <w:rsid w:val="10E67546"/>
    <w:rsid w:val="110D2C89"/>
    <w:rsid w:val="1111168F"/>
    <w:rsid w:val="11154812"/>
    <w:rsid w:val="111A671C"/>
    <w:rsid w:val="11200F37"/>
    <w:rsid w:val="112A6FFF"/>
    <w:rsid w:val="11331957"/>
    <w:rsid w:val="114D3A73"/>
    <w:rsid w:val="116F3C27"/>
    <w:rsid w:val="117016A9"/>
    <w:rsid w:val="1178180C"/>
    <w:rsid w:val="1178761E"/>
    <w:rsid w:val="11840349"/>
    <w:rsid w:val="11A3317D"/>
    <w:rsid w:val="11A46680"/>
    <w:rsid w:val="11AC3A8C"/>
    <w:rsid w:val="11AC764C"/>
    <w:rsid w:val="11BA6625"/>
    <w:rsid w:val="11BF336F"/>
    <w:rsid w:val="11C00100"/>
    <w:rsid w:val="11C15FB0"/>
    <w:rsid w:val="11D35ECA"/>
    <w:rsid w:val="11DD7ADE"/>
    <w:rsid w:val="11EE1F77"/>
    <w:rsid w:val="11F12EFC"/>
    <w:rsid w:val="12105979"/>
    <w:rsid w:val="121316C0"/>
    <w:rsid w:val="121534BC"/>
    <w:rsid w:val="1217313B"/>
    <w:rsid w:val="121A40C0"/>
    <w:rsid w:val="121D5045"/>
    <w:rsid w:val="122C565F"/>
    <w:rsid w:val="1230601B"/>
    <w:rsid w:val="123314AD"/>
    <w:rsid w:val="123C051C"/>
    <w:rsid w:val="12450788"/>
    <w:rsid w:val="12463C8B"/>
    <w:rsid w:val="124A2691"/>
    <w:rsid w:val="1250459A"/>
    <w:rsid w:val="126E3B4A"/>
    <w:rsid w:val="128A7BF7"/>
    <w:rsid w:val="12920887"/>
    <w:rsid w:val="12AE6B32"/>
    <w:rsid w:val="12BE4BCE"/>
    <w:rsid w:val="12BE7183"/>
    <w:rsid w:val="12C5503E"/>
    <w:rsid w:val="12CD5618"/>
    <w:rsid w:val="12E32EDE"/>
    <w:rsid w:val="12E60311"/>
    <w:rsid w:val="12EF37E0"/>
    <w:rsid w:val="12F33DA3"/>
    <w:rsid w:val="12FE1C75"/>
    <w:rsid w:val="13095F47"/>
    <w:rsid w:val="130F7E50"/>
    <w:rsid w:val="13124658"/>
    <w:rsid w:val="13180760"/>
    <w:rsid w:val="131A3751"/>
    <w:rsid w:val="13267A75"/>
    <w:rsid w:val="132D2C84"/>
    <w:rsid w:val="133F61FB"/>
    <w:rsid w:val="135C3B8C"/>
    <w:rsid w:val="136256DC"/>
    <w:rsid w:val="13660E16"/>
    <w:rsid w:val="136D019E"/>
    <w:rsid w:val="13741F37"/>
    <w:rsid w:val="138A0BB7"/>
    <w:rsid w:val="138D3FA2"/>
    <w:rsid w:val="13BC267E"/>
    <w:rsid w:val="13C65400"/>
    <w:rsid w:val="13D11138"/>
    <w:rsid w:val="13D57C19"/>
    <w:rsid w:val="13F07810"/>
    <w:rsid w:val="14036DAA"/>
    <w:rsid w:val="140E1078"/>
    <w:rsid w:val="1410457B"/>
    <w:rsid w:val="141241FB"/>
    <w:rsid w:val="141B7D24"/>
    <w:rsid w:val="14200F92"/>
    <w:rsid w:val="14224495"/>
    <w:rsid w:val="14321BD6"/>
    <w:rsid w:val="14337FB3"/>
    <w:rsid w:val="143556B4"/>
    <w:rsid w:val="1438443B"/>
    <w:rsid w:val="144846D5"/>
    <w:rsid w:val="14492156"/>
    <w:rsid w:val="144B713C"/>
    <w:rsid w:val="146B158C"/>
    <w:rsid w:val="14744F9C"/>
    <w:rsid w:val="14794EA4"/>
    <w:rsid w:val="148B12E6"/>
    <w:rsid w:val="1491254B"/>
    <w:rsid w:val="14B02E00"/>
    <w:rsid w:val="14BA7E1E"/>
    <w:rsid w:val="14F90C75"/>
    <w:rsid w:val="15034E08"/>
    <w:rsid w:val="15290435"/>
    <w:rsid w:val="15304812"/>
    <w:rsid w:val="1542236E"/>
    <w:rsid w:val="15437DF0"/>
    <w:rsid w:val="15545B0C"/>
    <w:rsid w:val="1555358D"/>
    <w:rsid w:val="15576A90"/>
    <w:rsid w:val="155E641B"/>
    <w:rsid w:val="15624E21"/>
    <w:rsid w:val="15636FF9"/>
    <w:rsid w:val="15767E12"/>
    <w:rsid w:val="15804BC3"/>
    <w:rsid w:val="15823158"/>
    <w:rsid w:val="1584665B"/>
    <w:rsid w:val="158717DE"/>
    <w:rsid w:val="15961DF8"/>
    <w:rsid w:val="159643E7"/>
    <w:rsid w:val="15AD52A1"/>
    <w:rsid w:val="15BC4236"/>
    <w:rsid w:val="15C64B46"/>
    <w:rsid w:val="15D93B67"/>
    <w:rsid w:val="15DC65E3"/>
    <w:rsid w:val="15E36674"/>
    <w:rsid w:val="15EF7EB6"/>
    <w:rsid w:val="15F55695"/>
    <w:rsid w:val="160F7CF5"/>
    <w:rsid w:val="1617364B"/>
    <w:rsid w:val="162E6AF4"/>
    <w:rsid w:val="163376F8"/>
    <w:rsid w:val="1635647F"/>
    <w:rsid w:val="164F37A5"/>
    <w:rsid w:val="16563130"/>
    <w:rsid w:val="16682151"/>
    <w:rsid w:val="166C72EA"/>
    <w:rsid w:val="166D65D9"/>
    <w:rsid w:val="167962AA"/>
    <w:rsid w:val="168B140C"/>
    <w:rsid w:val="169B16A6"/>
    <w:rsid w:val="169D4BA9"/>
    <w:rsid w:val="16A36AB3"/>
    <w:rsid w:val="16A56732"/>
    <w:rsid w:val="16A67A37"/>
    <w:rsid w:val="16B014D8"/>
    <w:rsid w:val="16D31800"/>
    <w:rsid w:val="16DE7B91"/>
    <w:rsid w:val="16EC2F91"/>
    <w:rsid w:val="16EE36AF"/>
    <w:rsid w:val="16F26832"/>
    <w:rsid w:val="16F342B3"/>
    <w:rsid w:val="16FC471D"/>
    <w:rsid w:val="16FF13CB"/>
    <w:rsid w:val="16FF5B47"/>
    <w:rsid w:val="170148CE"/>
    <w:rsid w:val="171170E7"/>
    <w:rsid w:val="1716576D"/>
    <w:rsid w:val="171A79F6"/>
    <w:rsid w:val="172B1987"/>
    <w:rsid w:val="17371525"/>
    <w:rsid w:val="176F06EB"/>
    <w:rsid w:val="178570A5"/>
    <w:rsid w:val="178B0FAF"/>
    <w:rsid w:val="178C31AD"/>
    <w:rsid w:val="178C4D5A"/>
    <w:rsid w:val="17A77857"/>
    <w:rsid w:val="17A9BD76"/>
    <w:rsid w:val="17B730F8"/>
    <w:rsid w:val="17B9407C"/>
    <w:rsid w:val="17C3498C"/>
    <w:rsid w:val="17C6794B"/>
    <w:rsid w:val="17C75864"/>
    <w:rsid w:val="17C85590"/>
    <w:rsid w:val="17CE4F1B"/>
    <w:rsid w:val="17D11723"/>
    <w:rsid w:val="17D15BAA"/>
    <w:rsid w:val="17D6734C"/>
    <w:rsid w:val="17DC0D66"/>
    <w:rsid w:val="17DE2FB7"/>
    <w:rsid w:val="17F4515B"/>
    <w:rsid w:val="17F52BDC"/>
    <w:rsid w:val="17F6065E"/>
    <w:rsid w:val="18052E77"/>
    <w:rsid w:val="181A539A"/>
    <w:rsid w:val="181C089E"/>
    <w:rsid w:val="181C54FE"/>
    <w:rsid w:val="182E0634"/>
    <w:rsid w:val="183E42D5"/>
    <w:rsid w:val="186B1B5B"/>
    <w:rsid w:val="187B08B7"/>
    <w:rsid w:val="187D3DBA"/>
    <w:rsid w:val="188C65D3"/>
    <w:rsid w:val="189D5A8C"/>
    <w:rsid w:val="18AA5B83"/>
    <w:rsid w:val="18AD238B"/>
    <w:rsid w:val="18B0330F"/>
    <w:rsid w:val="18B90B18"/>
    <w:rsid w:val="18B95BD8"/>
    <w:rsid w:val="18BB16A1"/>
    <w:rsid w:val="18DE057F"/>
    <w:rsid w:val="18FB4688"/>
    <w:rsid w:val="19055892"/>
    <w:rsid w:val="19063631"/>
    <w:rsid w:val="1908678F"/>
    <w:rsid w:val="19091420"/>
    <w:rsid w:val="190C5C28"/>
    <w:rsid w:val="190E557B"/>
    <w:rsid w:val="191974BC"/>
    <w:rsid w:val="1922234A"/>
    <w:rsid w:val="19377B01"/>
    <w:rsid w:val="193A152D"/>
    <w:rsid w:val="193A79F0"/>
    <w:rsid w:val="193C2EF3"/>
    <w:rsid w:val="19532B19"/>
    <w:rsid w:val="19681049"/>
    <w:rsid w:val="19771A54"/>
    <w:rsid w:val="197C175F"/>
    <w:rsid w:val="19812363"/>
    <w:rsid w:val="198D747A"/>
    <w:rsid w:val="19962308"/>
    <w:rsid w:val="19B6063F"/>
    <w:rsid w:val="19B760C0"/>
    <w:rsid w:val="19B83B42"/>
    <w:rsid w:val="19BD4746"/>
    <w:rsid w:val="19C05ED6"/>
    <w:rsid w:val="19D011E9"/>
    <w:rsid w:val="19E13681"/>
    <w:rsid w:val="19E32408"/>
    <w:rsid w:val="19EE17C2"/>
    <w:rsid w:val="19F93196"/>
    <w:rsid w:val="19FF3D0E"/>
    <w:rsid w:val="19FF64B5"/>
    <w:rsid w:val="1A1A55E6"/>
    <w:rsid w:val="1A1E34E6"/>
    <w:rsid w:val="1A20226D"/>
    <w:rsid w:val="1A2C027D"/>
    <w:rsid w:val="1A2C356C"/>
    <w:rsid w:val="1A33348C"/>
    <w:rsid w:val="1A3629D6"/>
    <w:rsid w:val="1A391B12"/>
    <w:rsid w:val="1A47203C"/>
    <w:rsid w:val="1A4C1518"/>
    <w:rsid w:val="1A4F7538"/>
    <w:rsid w:val="1A574945"/>
    <w:rsid w:val="1A607EA5"/>
    <w:rsid w:val="1A643C5B"/>
    <w:rsid w:val="1A915A23"/>
    <w:rsid w:val="1A9C3DB4"/>
    <w:rsid w:val="1AAD4E50"/>
    <w:rsid w:val="1AB836E5"/>
    <w:rsid w:val="1ABB4669"/>
    <w:rsid w:val="1AC54F79"/>
    <w:rsid w:val="1AE93EB4"/>
    <w:rsid w:val="1AEB73B7"/>
    <w:rsid w:val="1AEE3BBF"/>
    <w:rsid w:val="1AF42245"/>
    <w:rsid w:val="1AF5354A"/>
    <w:rsid w:val="1AF902B6"/>
    <w:rsid w:val="1B0A43E8"/>
    <w:rsid w:val="1B0B4F2F"/>
    <w:rsid w:val="1B0D536D"/>
    <w:rsid w:val="1B14057B"/>
    <w:rsid w:val="1B1736FE"/>
    <w:rsid w:val="1B1E690C"/>
    <w:rsid w:val="1B485552"/>
    <w:rsid w:val="1B5857EC"/>
    <w:rsid w:val="1B5B4050"/>
    <w:rsid w:val="1B6B3C20"/>
    <w:rsid w:val="1B7C0EA4"/>
    <w:rsid w:val="1B7E21A9"/>
    <w:rsid w:val="1B80312D"/>
    <w:rsid w:val="1B866CAC"/>
    <w:rsid w:val="1B8C6F40"/>
    <w:rsid w:val="1B9A3CD7"/>
    <w:rsid w:val="1B9C71DA"/>
    <w:rsid w:val="1BA3751A"/>
    <w:rsid w:val="1BB750B7"/>
    <w:rsid w:val="1BC03F17"/>
    <w:rsid w:val="1BC6259D"/>
    <w:rsid w:val="1BC96DA5"/>
    <w:rsid w:val="1BCC0B62"/>
    <w:rsid w:val="1BE31B4D"/>
    <w:rsid w:val="1BED104B"/>
    <w:rsid w:val="1BF4566B"/>
    <w:rsid w:val="1BFD04F9"/>
    <w:rsid w:val="1C191A02"/>
    <w:rsid w:val="1C2638BB"/>
    <w:rsid w:val="1C29608F"/>
    <w:rsid w:val="1C2A5B45"/>
    <w:rsid w:val="1C3928DC"/>
    <w:rsid w:val="1C3C12E2"/>
    <w:rsid w:val="1C47643B"/>
    <w:rsid w:val="1C4C3AFB"/>
    <w:rsid w:val="1C4E6FFE"/>
    <w:rsid w:val="1C5D3C4D"/>
    <w:rsid w:val="1C5F4D1A"/>
    <w:rsid w:val="1C6F168E"/>
    <w:rsid w:val="1C8361D3"/>
    <w:rsid w:val="1C900D6C"/>
    <w:rsid w:val="1CAA6093"/>
    <w:rsid w:val="1CAD6CD0"/>
    <w:rsid w:val="1CAE0658"/>
    <w:rsid w:val="1CAE7202"/>
    <w:rsid w:val="1CB868B3"/>
    <w:rsid w:val="1CBD2B35"/>
    <w:rsid w:val="1CD81161"/>
    <w:rsid w:val="1CDB5EAC"/>
    <w:rsid w:val="1CDD0B4D"/>
    <w:rsid w:val="1CF3356D"/>
    <w:rsid w:val="1CFE13A0"/>
    <w:rsid w:val="1CFF359F"/>
    <w:rsid w:val="1D02279E"/>
    <w:rsid w:val="1D0B2C34"/>
    <w:rsid w:val="1D1247BD"/>
    <w:rsid w:val="1D157BF1"/>
    <w:rsid w:val="1D170C45"/>
    <w:rsid w:val="1D1B764B"/>
    <w:rsid w:val="1D1C2B4F"/>
    <w:rsid w:val="1D22285A"/>
    <w:rsid w:val="1D795467"/>
    <w:rsid w:val="1D8334A3"/>
    <w:rsid w:val="1D8FC78C"/>
    <w:rsid w:val="1D923E12"/>
    <w:rsid w:val="1D972D03"/>
    <w:rsid w:val="1D9B6A3E"/>
    <w:rsid w:val="1DA76336"/>
    <w:rsid w:val="1DB26C50"/>
    <w:rsid w:val="1DB7139E"/>
    <w:rsid w:val="1DC1499F"/>
    <w:rsid w:val="1DD261D8"/>
    <w:rsid w:val="1DED79A4"/>
    <w:rsid w:val="1DF50633"/>
    <w:rsid w:val="1DF510EF"/>
    <w:rsid w:val="1DF715B8"/>
    <w:rsid w:val="1DFC3255"/>
    <w:rsid w:val="1E0112F9"/>
    <w:rsid w:val="1E0A4D56"/>
    <w:rsid w:val="1E1B62F5"/>
    <w:rsid w:val="1E225C80"/>
    <w:rsid w:val="1E266884"/>
    <w:rsid w:val="1E2A7432"/>
    <w:rsid w:val="1E2C72A7"/>
    <w:rsid w:val="1E464BBA"/>
    <w:rsid w:val="1E53644F"/>
    <w:rsid w:val="1E5C12DD"/>
    <w:rsid w:val="1E703800"/>
    <w:rsid w:val="1E857F22"/>
    <w:rsid w:val="1E862121"/>
    <w:rsid w:val="1E935967"/>
    <w:rsid w:val="1EA0654E"/>
    <w:rsid w:val="1EA261CE"/>
    <w:rsid w:val="1EAA105C"/>
    <w:rsid w:val="1EAF32E5"/>
    <w:rsid w:val="1EB1403F"/>
    <w:rsid w:val="1EB573ED"/>
    <w:rsid w:val="1EBA70F8"/>
    <w:rsid w:val="1EC71AB5"/>
    <w:rsid w:val="1ED3045A"/>
    <w:rsid w:val="1EDB2E6A"/>
    <w:rsid w:val="1EE03AB4"/>
    <w:rsid w:val="1EE95587"/>
    <w:rsid w:val="1EEA1E45"/>
    <w:rsid w:val="1EEA4952"/>
    <w:rsid w:val="1EFA1C24"/>
    <w:rsid w:val="1EFE68E7"/>
    <w:rsid w:val="1F09292A"/>
    <w:rsid w:val="1F106802"/>
    <w:rsid w:val="1F260856"/>
    <w:rsid w:val="1F264229"/>
    <w:rsid w:val="1F2C1918"/>
    <w:rsid w:val="1F460959"/>
    <w:rsid w:val="1F5A7EF7"/>
    <w:rsid w:val="1F5D56D9"/>
    <w:rsid w:val="1F664E2A"/>
    <w:rsid w:val="1F7268A6"/>
    <w:rsid w:val="1F7373D8"/>
    <w:rsid w:val="1F830D3F"/>
    <w:rsid w:val="1F8F35D4"/>
    <w:rsid w:val="1F9757E1"/>
    <w:rsid w:val="1F9B1C69"/>
    <w:rsid w:val="1FB00909"/>
    <w:rsid w:val="1FB13E0C"/>
    <w:rsid w:val="1FB91219"/>
    <w:rsid w:val="1FBB471C"/>
    <w:rsid w:val="1FCF0D05"/>
    <w:rsid w:val="1FD60202"/>
    <w:rsid w:val="1FE65F6B"/>
    <w:rsid w:val="1FE842E7"/>
    <w:rsid w:val="1FFA7A84"/>
    <w:rsid w:val="1FFC2F87"/>
    <w:rsid w:val="1FFE648A"/>
    <w:rsid w:val="2000198D"/>
    <w:rsid w:val="200E3F9B"/>
    <w:rsid w:val="2012512B"/>
    <w:rsid w:val="2023248F"/>
    <w:rsid w:val="20364066"/>
    <w:rsid w:val="204F3608"/>
    <w:rsid w:val="20512691"/>
    <w:rsid w:val="20535F35"/>
    <w:rsid w:val="207C25DC"/>
    <w:rsid w:val="2087096D"/>
    <w:rsid w:val="20897FCB"/>
    <w:rsid w:val="20A5599E"/>
    <w:rsid w:val="20AD0878"/>
    <w:rsid w:val="20B501B7"/>
    <w:rsid w:val="20B96BBD"/>
    <w:rsid w:val="20BF6548"/>
    <w:rsid w:val="20CA3197"/>
    <w:rsid w:val="20D14264"/>
    <w:rsid w:val="20D63F6F"/>
    <w:rsid w:val="20E25803"/>
    <w:rsid w:val="20E56222"/>
    <w:rsid w:val="20E60986"/>
    <w:rsid w:val="210A56C3"/>
    <w:rsid w:val="210B5343"/>
    <w:rsid w:val="21143A54"/>
    <w:rsid w:val="21251770"/>
    <w:rsid w:val="212C10FB"/>
    <w:rsid w:val="21430D20"/>
    <w:rsid w:val="21800B85"/>
    <w:rsid w:val="218E591C"/>
    <w:rsid w:val="21A91D49"/>
    <w:rsid w:val="21B225A8"/>
    <w:rsid w:val="21B26DD5"/>
    <w:rsid w:val="21B300DA"/>
    <w:rsid w:val="21B80CDF"/>
    <w:rsid w:val="21BA7A65"/>
    <w:rsid w:val="21C173F0"/>
    <w:rsid w:val="21D342CD"/>
    <w:rsid w:val="21E17924"/>
    <w:rsid w:val="21E253A6"/>
    <w:rsid w:val="21E5632B"/>
    <w:rsid w:val="220855E6"/>
    <w:rsid w:val="221A4CD6"/>
    <w:rsid w:val="221C5F69"/>
    <w:rsid w:val="22214E8B"/>
    <w:rsid w:val="22315125"/>
    <w:rsid w:val="223573AF"/>
    <w:rsid w:val="223E5BEA"/>
    <w:rsid w:val="22405740"/>
    <w:rsid w:val="224D4A55"/>
    <w:rsid w:val="224F7F58"/>
    <w:rsid w:val="225A62E9"/>
    <w:rsid w:val="226118DC"/>
    <w:rsid w:val="226520FC"/>
    <w:rsid w:val="226523C7"/>
    <w:rsid w:val="227A0B69"/>
    <w:rsid w:val="227C1D21"/>
    <w:rsid w:val="227E3026"/>
    <w:rsid w:val="229B0F0C"/>
    <w:rsid w:val="22A83E6A"/>
    <w:rsid w:val="22AC4A6F"/>
    <w:rsid w:val="22BB5089"/>
    <w:rsid w:val="22BE4F7D"/>
    <w:rsid w:val="22D017AB"/>
    <w:rsid w:val="22D514B6"/>
    <w:rsid w:val="22E55ECD"/>
    <w:rsid w:val="22F0425E"/>
    <w:rsid w:val="22FB0071"/>
    <w:rsid w:val="22FC38F4"/>
    <w:rsid w:val="22FC5AF3"/>
    <w:rsid w:val="23042EFF"/>
    <w:rsid w:val="2308455E"/>
    <w:rsid w:val="230F4B13"/>
    <w:rsid w:val="23101B7B"/>
    <w:rsid w:val="23135718"/>
    <w:rsid w:val="231D18AB"/>
    <w:rsid w:val="232F75C6"/>
    <w:rsid w:val="233F30E4"/>
    <w:rsid w:val="23485F72"/>
    <w:rsid w:val="23512FFE"/>
    <w:rsid w:val="23582CDC"/>
    <w:rsid w:val="235E4041"/>
    <w:rsid w:val="235F5B97"/>
    <w:rsid w:val="236F5E31"/>
    <w:rsid w:val="237B6A21"/>
    <w:rsid w:val="237D7345"/>
    <w:rsid w:val="23834AD2"/>
    <w:rsid w:val="2396026F"/>
    <w:rsid w:val="239C706C"/>
    <w:rsid w:val="23A710EC"/>
    <w:rsid w:val="23AB0215"/>
    <w:rsid w:val="23C465C3"/>
    <w:rsid w:val="23D73E2E"/>
    <w:rsid w:val="23E24AEB"/>
    <w:rsid w:val="23E3256D"/>
    <w:rsid w:val="23E40A13"/>
    <w:rsid w:val="23EE6F46"/>
    <w:rsid w:val="23F70746"/>
    <w:rsid w:val="23F7700F"/>
    <w:rsid w:val="23FA7F94"/>
    <w:rsid w:val="23FD0015"/>
    <w:rsid w:val="24151E43"/>
    <w:rsid w:val="241B04C9"/>
    <w:rsid w:val="242A2CE1"/>
    <w:rsid w:val="24346E74"/>
    <w:rsid w:val="243948BB"/>
    <w:rsid w:val="2444388B"/>
    <w:rsid w:val="24453EC7"/>
    <w:rsid w:val="24454B90"/>
    <w:rsid w:val="24485B15"/>
    <w:rsid w:val="24547947"/>
    <w:rsid w:val="24780862"/>
    <w:rsid w:val="247840E5"/>
    <w:rsid w:val="248C2D86"/>
    <w:rsid w:val="2491720E"/>
    <w:rsid w:val="24AC1FB6"/>
    <w:rsid w:val="24AD7A37"/>
    <w:rsid w:val="24AE34FB"/>
    <w:rsid w:val="24AE74BD"/>
    <w:rsid w:val="24B506C7"/>
    <w:rsid w:val="24D17FF7"/>
    <w:rsid w:val="24D37C77"/>
    <w:rsid w:val="24D50412"/>
    <w:rsid w:val="24E56C98"/>
    <w:rsid w:val="24ED0821"/>
    <w:rsid w:val="24F45C2D"/>
    <w:rsid w:val="250B0F8A"/>
    <w:rsid w:val="251C1370"/>
    <w:rsid w:val="25323514"/>
    <w:rsid w:val="2536579D"/>
    <w:rsid w:val="253A0920"/>
    <w:rsid w:val="254F5042"/>
    <w:rsid w:val="25556F4C"/>
    <w:rsid w:val="2571687C"/>
    <w:rsid w:val="25783C88"/>
    <w:rsid w:val="257FAF91"/>
    <w:rsid w:val="25805811"/>
    <w:rsid w:val="25965263"/>
    <w:rsid w:val="25970CBA"/>
    <w:rsid w:val="25A634D3"/>
    <w:rsid w:val="25ADBBFC"/>
    <w:rsid w:val="25AE752B"/>
    <w:rsid w:val="25BD0EF9"/>
    <w:rsid w:val="25BE0B79"/>
    <w:rsid w:val="25C01E7E"/>
    <w:rsid w:val="25D415D6"/>
    <w:rsid w:val="25FF73E4"/>
    <w:rsid w:val="26004E66"/>
    <w:rsid w:val="26120603"/>
    <w:rsid w:val="26141908"/>
    <w:rsid w:val="261A5A10"/>
    <w:rsid w:val="261A687E"/>
    <w:rsid w:val="261B6D15"/>
    <w:rsid w:val="261D6994"/>
    <w:rsid w:val="262B30D0"/>
    <w:rsid w:val="26307BB3"/>
    <w:rsid w:val="26321A4B"/>
    <w:rsid w:val="263962C5"/>
    <w:rsid w:val="264520D7"/>
    <w:rsid w:val="268279BE"/>
    <w:rsid w:val="26897349"/>
    <w:rsid w:val="26981B61"/>
    <w:rsid w:val="26A73075"/>
    <w:rsid w:val="26AA787D"/>
    <w:rsid w:val="26B1006F"/>
    <w:rsid w:val="26C848AF"/>
    <w:rsid w:val="26D56143"/>
    <w:rsid w:val="26E718E0"/>
    <w:rsid w:val="26FB45D4"/>
    <w:rsid w:val="27112725"/>
    <w:rsid w:val="27172430"/>
    <w:rsid w:val="273245C8"/>
    <w:rsid w:val="2758774E"/>
    <w:rsid w:val="27634AAD"/>
    <w:rsid w:val="276B40B8"/>
    <w:rsid w:val="277314C4"/>
    <w:rsid w:val="277C1DD4"/>
    <w:rsid w:val="278F0DF5"/>
    <w:rsid w:val="279142F8"/>
    <w:rsid w:val="27956C53"/>
    <w:rsid w:val="279A7186"/>
    <w:rsid w:val="279B048A"/>
    <w:rsid w:val="279E140F"/>
    <w:rsid w:val="27AD03A5"/>
    <w:rsid w:val="27AF712B"/>
    <w:rsid w:val="27D25752"/>
    <w:rsid w:val="27D85321"/>
    <w:rsid w:val="27E22DFD"/>
    <w:rsid w:val="27F53BFF"/>
    <w:rsid w:val="27F97454"/>
    <w:rsid w:val="27FB5F25"/>
    <w:rsid w:val="280542B6"/>
    <w:rsid w:val="280F0449"/>
    <w:rsid w:val="28190D59"/>
    <w:rsid w:val="282006E4"/>
    <w:rsid w:val="28231668"/>
    <w:rsid w:val="28264EC0"/>
    <w:rsid w:val="283755B5"/>
    <w:rsid w:val="284460E4"/>
    <w:rsid w:val="28462B22"/>
    <w:rsid w:val="28503431"/>
    <w:rsid w:val="2852233A"/>
    <w:rsid w:val="285311F8"/>
    <w:rsid w:val="285478B9"/>
    <w:rsid w:val="28726E69"/>
    <w:rsid w:val="2887358B"/>
    <w:rsid w:val="289870A9"/>
    <w:rsid w:val="28AE59C9"/>
    <w:rsid w:val="28AF1112"/>
    <w:rsid w:val="28B1694E"/>
    <w:rsid w:val="28B66659"/>
    <w:rsid w:val="28B81B5C"/>
    <w:rsid w:val="28CB21A2"/>
    <w:rsid w:val="28E14F1E"/>
    <w:rsid w:val="28EF32F4"/>
    <w:rsid w:val="290C37E4"/>
    <w:rsid w:val="291B3DFF"/>
    <w:rsid w:val="29246C8C"/>
    <w:rsid w:val="29256295"/>
    <w:rsid w:val="293E7836"/>
    <w:rsid w:val="29652F79"/>
    <w:rsid w:val="296E14AB"/>
    <w:rsid w:val="29713987"/>
    <w:rsid w:val="298309EF"/>
    <w:rsid w:val="29A617E4"/>
    <w:rsid w:val="29AB5C6C"/>
    <w:rsid w:val="29B23078"/>
    <w:rsid w:val="29B5077A"/>
    <w:rsid w:val="29B97180"/>
    <w:rsid w:val="29BE3608"/>
    <w:rsid w:val="29C9741A"/>
    <w:rsid w:val="29CC3C22"/>
    <w:rsid w:val="29CF1324"/>
    <w:rsid w:val="29D016DB"/>
    <w:rsid w:val="29D87A35"/>
    <w:rsid w:val="2A0D248D"/>
    <w:rsid w:val="2A22427F"/>
    <w:rsid w:val="2A273037"/>
    <w:rsid w:val="2A4525E7"/>
    <w:rsid w:val="2A473AAA"/>
    <w:rsid w:val="2A480FED"/>
    <w:rsid w:val="2A64509A"/>
    <w:rsid w:val="2A6A6FA4"/>
    <w:rsid w:val="2A6C24A7"/>
    <w:rsid w:val="2A7C0543"/>
    <w:rsid w:val="2A9211C9"/>
    <w:rsid w:val="2A9226E6"/>
    <w:rsid w:val="2AA9230C"/>
    <w:rsid w:val="2AB7478C"/>
    <w:rsid w:val="2ACF254B"/>
    <w:rsid w:val="2AEC1AFB"/>
    <w:rsid w:val="2AED757D"/>
    <w:rsid w:val="2AF72431"/>
    <w:rsid w:val="2B0971E3"/>
    <w:rsid w:val="2B150495"/>
    <w:rsid w:val="2B1566BF"/>
    <w:rsid w:val="2B1E2A5D"/>
    <w:rsid w:val="2B210CD1"/>
    <w:rsid w:val="2B254B22"/>
    <w:rsid w:val="2B3269EC"/>
    <w:rsid w:val="2B3E6082"/>
    <w:rsid w:val="2B424A89"/>
    <w:rsid w:val="2B447F8C"/>
    <w:rsid w:val="2B5272A1"/>
    <w:rsid w:val="2B631DDB"/>
    <w:rsid w:val="2B6E0DD0"/>
    <w:rsid w:val="2B8509F5"/>
    <w:rsid w:val="2B92119E"/>
    <w:rsid w:val="2B9B099A"/>
    <w:rsid w:val="2B9F687E"/>
    <w:rsid w:val="2BA7222F"/>
    <w:rsid w:val="2BAA0794"/>
    <w:rsid w:val="2BB172BB"/>
    <w:rsid w:val="2BB51544"/>
    <w:rsid w:val="2BBD471E"/>
    <w:rsid w:val="2BCE0BE6"/>
    <w:rsid w:val="2BCF42EC"/>
    <w:rsid w:val="2BD23073"/>
    <w:rsid w:val="2BD74F7C"/>
    <w:rsid w:val="2BE65470"/>
    <w:rsid w:val="2C033842"/>
    <w:rsid w:val="2C0370C5"/>
    <w:rsid w:val="2C113E5C"/>
    <w:rsid w:val="2C12605B"/>
    <w:rsid w:val="2C1D1E6D"/>
    <w:rsid w:val="2C210873"/>
    <w:rsid w:val="2C2262F5"/>
    <w:rsid w:val="2C2E3857"/>
    <w:rsid w:val="2C300CD1"/>
    <w:rsid w:val="2C43682A"/>
    <w:rsid w:val="2C4A1A38"/>
    <w:rsid w:val="2C5C51D5"/>
    <w:rsid w:val="2C784B05"/>
    <w:rsid w:val="2C832E96"/>
    <w:rsid w:val="2C8B02A3"/>
    <w:rsid w:val="2C9143AA"/>
    <w:rsid w:val="2CA06BC3"/>
    <w:rsid w:val="2CA64350"/>
    <w:rsid w:val="2CB35BE4"/>
    <w:rsid w:val="2CBB2FF0"/>
    <w:rsid w:val="2CE53E34"/>
    <w:rsid w:val="2D0E2A7A"/>
    <w:rsid w:val="2D4476D1"/>
    <w:rsid w:val="2D470656"/>
    <w:rsid w:val="2D5034E4"/>
    <w:rsid w:val="2D524C40"/>
    <w:rsid w:val="2D550250"/>
    <w:rsid w:val="2D5A7676"/>
    <w:rsid w:val="2D5E35E4"/>
    <w:rsid w:val="2D657C06"/>
    <w:rsid w:val="2D7741CA"/>
    <w:rsid w:val="2D870D8D"/>
    <w:rsid w:val="2D9B00E0"/>
    <w:rsid w:val="2D9F2369"/>
    <w:rsid w:val="2DAA06FA"/>
    <w:rsid w:val="2DD14D37"/>
    <w:rsid w:val="2DD37B2E"/>
    <w:rsid w:val="2DE0754F"/>
    <w:rsid w:val="2DF51A73"/>
    <w:rsid w:val="2DFE5055"/>
    <w:rsid w:val="2E063012"/>
    <w:rsid w:val="2E07F74F"/>
    <w:rsid w:val="2E0C1698"/>
    <w:rsid w:val="2E1F28B7"/>
    <w:rsid w:val="2E220AB6"/>
    <w:rsid w:val="2E24482E"/>
    <w:rsid w:val="2E4D5985"/>
    <w:rsid w:val="2E614626"/>
    <w:rsid w:val="2E674331"/>
    <w:rsid w:val="2E76495E"/>
    <w:rsid w:val="2E7C0A53"/>
    <w:rsid w:val="2E915175"/>
    <w:rsid w:val="2E955D79"/>
    <w:rsid w:val="2E9B3506"/>
    <w:rsid w:val="2EA11B8C"/>
    <w:rsid w:val="2EA81517"/>
    <w:rsid w:val="2EB021A6"/>
    <w:rsid w:val="2EBC75C3"/>
    <w:rsid w:val="2EC333C5"/>
    <w:rsid w:val="2ECB6A58"/>
    <w:rsid w:val="2EDE19F1"/>
    <w:rsid w:val="2EEBDD9D"/>
    <w:rsid w:val="2EEF770D"/>
    <w:rsid w:val="2EF47418"/>
    <w:rsid w:val="2F032008"/>
    <w:rsid w:val="2F055134"/>
    <w:rsid w:val="2F226C62"/>
    <w:rsid w:val="2F5838B9"/>
    <w:rsid w:val="2F5F6AC7"/>
    <w:rsid w:val="2F7112CC"/>
    <w:rsid w:val="2F7431E9"/>
    <w:rsid w:val="2F8B819D"/>
    <w:rsid w:val="2F945C9C"/>
    <w:rsid w:val="2F96119F"/>
    <w:rsid w:val="2F9A7BA6"/>
    <w:rsid w:val="2FAC6889"/>
    <w:rsid w:val="2FAD4648"/>
    <w:rsid w:val="2FAE6846"/>
    <w:rsid w:val="2FB20AD0"/>
    <w:rsid w:val="2FB32CCE"/>
    <w:rsid w:val="2FBE03EA"/>
    <w:rsid w:val="2FBF4562"/>
    <w:rsid w:val="2FC409EA"/>
    <w:rsid w:val="2FCA7487"/>
    <w:rsid w:val="2FCC5DF6"/>
    <w:rsid w:val="2FCD12F9"/>
    <w:rsid w:val="2FCF47FC"/>
    <w:rsid w:val="2FDFD49D"/>
    <w:rsid w:val="2FE150D3"/>
    <w:rsid w:val="2FF96CC5"/>
    <w:rsid w:val="2FFF0BCF"/>
    <w:rsid w:val="300262D0"/>
    <w:rsid w:val="30052AD8"/>
    <w:rsid w:val="3011436C"/>
    <w:rsid w:val="30141A6E"/>
    <w:rsid w:val="302A646C"/>
    <w:rsid w:val="30351FA2"/>
    <w:rsid w:val="30372F27"/>
    <w:rsid w:val="303E28B2"/>
    <w:rsid w:val="30503E51"/>
    <w:rsid w:val="30554914"/>
    <w:rsid w:val="305C56E5"/>
    <w:rsid w:val="30650FD5"/>
    <w:rsid w:val="306A49FB"/>
    <w:rsid w:val="30781792"/>
    <w:rsid w:val="309612E7"/>
    <w:rsid w:val="309F44FF"/>
    <w:rsid w:val="30AD41EB"/>
    <w:rsid w:val="30B400B3"/>
    <w:rsid w:val="30BC0D4E"/>
    <w:rsid w:val="30C2090D"/>
    <w:rsid w:val="30D653AF"/>
    <w:rsid w:val="30D81CD3"/>
    <w:rsid w:val="30DE023D"/>
    <w:rsid w:val="30F363DF"/>
    <w:rsid w:val="30F96868"/>
    <w:rsid w:val="310C4204"/>
    <w:rsid w:val="310E7707"/>
    <w:rsid w:val="31121990"/>
    <w:rsid w:val="3133052D"/>
    <w:rsid w:val="313C4D53"/>
    <w:rsid w:val="31476F5B"/>
    <w:rsid w:val="315076E8"/>
    <w:rsid w:val="315B7806"/>
    <w:rsid w:val="31653999"/>
    <w:rsid w:val="3172522D"/>
    <w:rsid w:val="31886E82"/>
    <w:rsid w:val="319F2879"/>
    <w:rsid w:val="31A15D7C"/>
    <w:rsid w:val="31A54783"/>
    <w:rsid w:val="31B00595"/>
    <w:rsid w:val="31C00958"/>
    <w:rsid w:val="31C00F6A"/>
    <w:rsid w:val="31C3379C"/>
    <w:rsid w:val="31C57236"/>
    <w:rsid w:val="31D03048"/>
    <w:rsid w:val="31D06BDC"/>
    <w:rsid w:val="31D11190"/>
    <w:rsid w:val="31D80455"/>
    <w:rsid w:val="31DA3958"/>
    <w:rsid w:val="31DB13D9"/>
    <w:rsid w:val="31F67A05"/>
    <w:rsid w:val="31FC5191"/>
    <w:rsid w:val="32063522"/>
    <w:rsid w:val="320D55D9"/>
    <w:rsid w:val="323507EE"/>
    <w:rsid w:val="324032FC"/>
    <w:rsid w:val="325A7729"/>
    <w:rsid w:val="32602496"/>
    <w:rsid w:val="326A79C4"/>
    <w:rsid w:val="326D41CB"/>
    <w:rsid w:val="32701161"/>
    <w:rsid w:val="32705150"/>
    <w:rsid w:val="327F4D4C"/>
    <w:rsid w:val="328D33FB"/>
    <w:rsid w:val="32936563"/>
    <w:rsid w:val="329A2711"/>
    <w:rsid w:val="32A36D88"/>
    <w:rsid w:val="32BB6DE3"/>
    <w:rsid w:val="32CA3260"/>
    <w:rsid w:val="32DF7982"/>
    <w:rsid w:val="32FB1ABD"/>
    <w:rsid w:val="33082D45"/>
    <w:rsid w:val="331A42E4"/>
    <w:rsid w:val="331D184C"/>
    <w:rsid w:val="332116F0"/>
    <w:rsid w:val="334376A7"/>
    <w:rsid w:val="3363215A"/>
    <w:rsid w:val="336F39EE"/>
    <w:rsid w:val="33724973"/>
    <w:rsid w:val="3377467E"/>
    <w:rsid w:val="33840CB0"/>
    <w:rsid w:val="33845A2F"/>
    <w:rsid w:val="33927242"/>
    <w:rsid w:val="339574B1"/>
    <w:rsid w:val="339A3939"/>
    <w:rsid w:val="33B73A4E"/>
    <w:rsid w:val="33CE1AC0"/>
    <w:rsid w:val="33D463AE"/>
    <w:rsid w:val="33DD78A5"/>
    <w:rsid w:val="33DF2DA8"/>
    <w:rsid w:val="33E54F7B"/>
    <w:rsid w:val="340706E9"/>
    <w:rsid w:val="3408616B"/>
    <w:rsid w:val="34160D04"/>
    <w:rsid w:val="34164C19"/>
    <w:rsid w:val="342E63AB"/>
    <w:rsid w:val="343B7C3F"/>
    <w:rsid w:val="343C78BF"/>
    <w:rsid w:val="3455626A"/>
    <w:rsid w:val="346F4C16"/>
    <w:rsid w:val="34817669"/>
    <w:rsid w:val="348222AE"/>
    <w:rsid w:val="348722BC"/>
    <w:rsid w:val="34884FD5"/>
    <w:rsid w:val="34966D4D"/>
    <w:rsid w:val="34983880"/>
    <w:rsid w:val="349B3370"/>
    <w:rsid w:val="34A208E8"/>
    <w:rsid w:val="34C3689E"/>
    <w:rsid w:val="34CA1AAC"/>
    <w:rsid w:val="34D55FE0"/>
    <w:rsid w:val="34DD3824"/>
    <w:rsid w:val="34FF53FE"/>
    <w:rsid w:val="34FFB3AA"/>
    <w:rsid w:val="35014185"/>
    <w:rsid w:val="35041886"/>
    <w:rsid w:val="35085D0E"/>
    <w:rsid w:val="350C2516"/>
    <w:rsid w:val="350D7F97"/>
    <w:rsid w:val="351D0231"/>
    <w:rsid w:val="352C3FC8"/>
    <w:rsid w:val="3530287B"/>
    <w:rsid w:val="353E0766"/>
    <w:rsid w:val="35441312"/>
    <w:rsid w:val="35455B73"/>
    <w:rsid w:val="35673B29"/>
    <w:rsid w:val="356B252F"/>
    <w:rsid w:val="356E34B4"/>
    <w:rsid w:val="357C3ACE"/>
    <w:rsid w:val="35833459"/>
    <w:rsid w:val="358677AD"/>
    <w:rsid w:val="359336F3"/>
    <w:rsid w:val="359E1A84"/>
    <w:rsid w:val="35A23D0E"/>
    <w:rsid w:val="35A35F0C"/>
    <w:rsid w:val="35AF4352"/>
    <w:rsid w:val="35CB384D"/>
    <w:rsid w:val="35CD7559"/>
    <w:rsid w:val="35DF02EF"/>
    <w:rsid w:val="35E80BFF"/>
    <w:rsid w:val="35EF058A"/>
    <w:rsid w:val="35EF78B7"/>
    <w:rsid w:val="35F2731C"/>
    <w:rsid w:val="360A6BB5"/>
    <w:rsid w:val="36175E84"/>
    <w:rsid w:val="36287853"/>
    <w:rsid w:val="362A056A"/>
    <w:rsid w:val="362D006F"/>
    <w:rsid w:val="36307A7D"/>
    <w:rsid w:val="36381C83"/>
    <w:rsid w:val="36387814"/>
    <w:rsid w:val="36496FA8"/>
    <w:rsid w:val="364A5420"/>
    <w:rsid w:val="364F18A8"/>
    <w:rsid w:val="365302AE"/>
    <w:rsid w:val="366053C6"/>
    <w:rsid w:val="36630549"/>
    <w:rsid w:val="36904890"/>
    <w:rsid w:val="36A46DB4"/>
    <w:rsid w:val="36A66A34"/>
    <w:rsid w:val="36BA0F57"/>
    <w:rsid w:val="36C605ED"/>
    <w:rsid w:val="36CD2176"/>
    <w:rsid w:val="36DA3A0A"/>
    <w:rsid w:val="36DA728E"/>
    <w:rsid w:val="36EA7BCB"/>
    <w:rsid w:val="36EB4FAA"/>
    <w:rsid w:val="36F01431"/>
    <w:rsid w:val="36F75539"/>
    <w:rsid w:val="370E607B"/>
    <w:rsid w:val="371B2276"/>
    <w:rsid w:val="372F0F16"/>
    <w:rsid w:val="374878C2"/>
    <w:rsid w:val="374C2700"/>
    <w:rsid w:val="375717D0"/>
    <w:rsid w:val="375C2CDF"/>
    <w:rsid w:val="375F68D7"/>
    <w:rsid w:val="376A7A76"/>
    <w:rsid w:val="376E70A4"/>
    <w:rsid w:val="377EBEF1"/>
    <w:rsid w:val="3790083E"/>
    <w:rsid w:val="379D4DCD"/>
    <w:rsid w:val="37A656DD"/>
    <w:rsid w:val="37B52474"/>
    <w:rsid w:val="37C4140A"/>
    <w:rsid w:val="37D64BA7"/>
    <w:rsid w:val="37D85093"/>
    <w:rsid w:val="37DE5837"/>
    <w:rsid w:val="37DF7FF4"/>
    <w:rsid w:val="37E82428"/>
    <w:rsid w:val="37F863E1"/>
    <w:rsid w:val="37FC6065"/>
    <w:rsid w:val="38063178"/>
    <w:rsid w:val="38272909"/>
    <w:rsid w:val="3830653A"/>
    <w:rsid w:val="384072A5"/>
    <w:rsid w:val="38437481"/>
    <w:rsid w:val="384C5E6B"/>
    <w:rsid w:val="384F083A"/>
    <w:rsid w:val="38585500"/>
    <w:rsid w:val="386C3059"/>
    <w:rsid w:val="386D0B7F"/>
    <w:rsid w:val="38712827"/>
    <w:rsid w:val="38733B2C"/>
    <w:rsid w:val="38841848"/>
    <w:rsid w:val="38853A46"/>
    <w:rsid w:val="38964FE5"/>
    <w:rsid w:val="38A071A7"/>
    <w:rsid w:val="38A20DF8"/>
    <w:rsid w:val="38A30A78"/>
    <w:rsid w:val="38A95D5E"/>
    <w:rsid w:val="38BF03A8"/>
    <w:rsid w:val="38C522B1"/>
    <w:rsid w:val="38D273C9"/>
    <w:rsid w:val="38D864AE"/>
    <w:rsid w:val="38EF0EF7"/>
    <w:rsid w:val="38F00B77"/>
    <w:rsid w:val="38F75E1A"/>
    <w:rsid w:val="39035FA6"/>
    <w:rsid w:val="391F4B95"/>
    <w:rsid w:val="392016C6"/>
    <w:rsid w:val="39216B01"/>
    <w:rsid w:val="392748D4"/>
    <w:rsid w:val="39276AD2"/>
    <w:rsid w:val="392A7A57"/>
    <w:rsid w:val="39471586"/>
    <w:rsid w:val="395B0226"/>
    <w:rsid w:val="396E39C4"/>
    <w:rsid w:val="397D1DFA"/>
    <w:rsid w:val="398C14D9"/>
    <w:rsid w:val="39950D61"/>
    <w:rsid w:val="399B4893"/>
    <w:rsid w:val="399C6A91"/>
    <w:rsid w:val="39A5191F"/>
    <w:rsid w:val="39A64349"/>
    <w:rsid w:val="39B31F3A"/>
    <w:rsid w:val="39D114EA"/>
    <w:rsid w:val="39E210F9"/>
    <w:rsid w:val="39FFC41F"/>
    <w:rsid w:val="3A063F42"/>
    <w:rsid w:val="3A1C60E6"/>
    <w:rsid w:val="3A2C2AFD"/>
    <w:rsid w:val="3A32028A"/>
    <w:rsid w:val="3A3A1E13"/>
    <w:rsid w:val="3A3E409C"/>
    <w:rsid w:val="3A4C202B"/>
    <w:rsid w:val="3A5804C9"/>
    <w:rsid w:val="3A5C6756"/>
    <w:rsid w:val="3A5F7E54"/>
    <w:rsid w:val="3A733D6B"/>
    <w:rsid w:val="3A7B0FAD"/>
    <w:rsid w:val="3A8F2BA2"/>
    <w:rsid w:val="3A912821"/>
    <w:rsid w:val="3A9A3131"/>
    <w:rsid w:val="3AC03371"/>
    <w:rsid w:val="3ACD2686"/>
    <w:rsid w:val="3ACE5F0A"/>
    <w:rsid w:val="3ACF398B"/>
    <w:rsid w:val="3AD0140D"/>
    <w:rsid w:val="3AD0360B"/>
    <w:rsid w:val="3AE96733"/>
    <w:rsid w:val="3AF24E44"/>
    <w:rsid w:val="3AFB444F"/>
    <w:rsid w:val="3B00415A"/>
    <w:rsid w:val="3B1A4D04"/>
    <w:rsid w:val="3B1F0857"/>
    <w:rsid w:val="3B3B2CBA"/>
    <w:rsid w:val="3B461B1B"/>
    <w:rsid w:val="3B694BE1"/>
    <w:rsid w:val="3B705713"/>
    <w:rsid w:val="3B750477"/>
    <w:rsid w:val="3B7905A1"/>
    <w:rsid w:val="3B815E78"/>
    <w:rsid w:val="3B824942"/>
    <w:rsid w:val="3B8B3D3E"/>
    <w:rsid w:val="3B9052B1"/>
    <w:rsid w:val="3B9968D7"/>
    <w:rsid w:val="3B9C3FD8"/>
    <w:rsid w:val="3BB66BCF"/>
    <w:rsid w:val="3BC95DA1"/>
    <w:rsid w:val="3BD3461C"/>
    <w:rsid w:val="3BD864DE"/>
    <w:rsid w:val="3BDE5D47"/>
    <w:rsid w:val="3BE63153"/>
    <w:rsid w:val="3C202033"/>
    <w:rsid w:val="3C204232"/>
    <w:rsid w:val="3C2A03C4"/>
    <w:rsid w:val="3C2C0044"/>
    <w:rsid w:val="3C2D1349"/>
    <w:rsid w:val="3C360954"/>
    <w:rsid w:val="3C5767D0"/>
    <w:rsid w:val="3C593492"/>
    <w:rsid w:val="3C5C4417"/>
    <w:rsid w:val="3C6E1DB2"/>
    <w:rsid w:val="3C7030B7"/>
    <w:rsid w:val="3C850B8E"/>
    <w:rsid w:val="3C853170"/>
    <w:rsid w:val="3C877459"/>
    <w:rsid w:val="3C957A74"/>
    <w:rsid w:val="3CA36D89"/>
    <w:rsid w:val="3CA405E3"/>
    <w:rsid w:val="3CA4480B"/>
    <w:rsid w:val="3CCA6C49"/>
    <w:rsid w:val="3CCC59CF"/>
    <w:rsid w:val="3CCD3451"/>
    <w:rsid w:val="3CE753A4"/>
    <w:rsid w:val="3CF06E89"/>
    <w:rsid w:val="3D0B0717"/>
    <w:rsid w:val="3D212EDB"/>
    <w:rsid w:val="3D340877"/>
    <w:rsid w:val="3D3F248B"/>
    <w:rsid w:val="3D4F2725"/>
    <w:rsid w:val="3D577B32"/>
    <w:rsid w:val="3D5A2CB5"/>
    <w:rsid w:val="3D5C3FB9"/>
    <w:rsid w:val="3D5E16BB"/>
    <w:rsid w:val="3D697A4C"/>
    <w:rsid w:val="3D6D517E"/>
    <w:rsid w:val="3D74650C"/>
    <w:rsid w:val="3DB3244A"/>
    <w:rsid w:val="3DC65BE7"/>
    <w:rsid w:val="3DCB25D0"/>
    <w:rsid w:val="3DD2747B"/>
    <w:rsid w:val="3DDC1B5E"/>
    <w:rsid w:val="3DDCE259"/>
    <w:rsid w:val="3DEF0FAA"/>
    <w:rsid w:val="3DF52EB3"/>
    <w:rsid w:val="3DFB09DB"/>
    <w:rsid w:val="3DFBDF04"/>
    <w:rsid w:val="3DFF7774"/>
    <w:rsid w:val="3E014D0D"/>
    <w:rsid w:val="3E0D05EA"/>
    <w:rsid w:val="3E115526"/>
    <w:rsid w:val="3E1511E9"/>
    <w:rsid w:val="3E171CB9"/>
    <w:rsid w:val="3E18216E"/>
    <w:rsid w:val="3E191DEE"/>
    <w:rsid w:val="3E2D6890"/>
    <w:rsid w:val="3E324F16"/>
    <w:rsid w:val="3E3E1A84"/>
    <w:rsid w:val="3E422FB2"/>
    <w:rsid w:val="3E430B8E"/>
    <w:rsid w:val="3E5E3417"/>
    <w:rsid w:val="3E66054B"/>
    <w:rsid w:val="3E6751F7"/>
    <w:rsid w:val="3E75078E"/>
    <w:rsid w:val="3E767F89"/>
    <w:rsid w:val="3E775A0B"/>
    <w:rsid w:val="3E7964D0"/>
    <w:rsid w:val="3E7C1E93"/>
    <w:rsid w:val="3E84149D"/>
    <w:rsid w:val="3E895925"/>
    <w:rsid w:val="3E8B7FB1"/>
    <w:rsid w:val="3E8D7BAE"/>
    <w:rsid w:val="3EAF5B65"/>
    <w:rsid w:val="3EB709F3"/>
    <w:rsid w:val="3EBB73F9"/>
    <w:rsid w:val="3EC34805"/>
    <w:rsid w:val="3EC6578A"/>
    <w:rsid w:val="3ED65A24"/>
    <w:rsid w:val="3EDB2CE7"/>
    <w:rsid w:val="3EE73740"/>
    <w:rsid w:val="3EEC2B1F"/>
    <w:rsid w:val="3EF44FD4"/>
    <w:rsid w:val="3EF525AD"/>
    <w:rsid w:val="3EFFD83A"/>
    <w:rsid w:val="3F0B047D"/>
    <w:rsid w:val="3F0D3980"/>
    <w:rsid w:val="3F2029A0"/>
    <w:rsid w:val="3F28582E"/>
    <w:rsid w:val="3F2C52F0"/>
    <w:rsid w:val="3F2E3EB4"/>
    <w:rsid w:val="3F341641"/>
    <w:rsid w:val="3F3E414F"/>
    <w:rsid w:val="3F514D57"/>
    <w:rsid w:val="3F530871"/>
    <w:rsid w:val="3F5E2485"/>
    <w:rsid w:val="3F61340A"/>
    <w:rsid w:val="3F6BAFF4"/>
    <w:rsid w:val="3F6F679E"/>
    <w:rsid w:val="3F71149D"/>
    <w:rsid w:val="3F7520AA"/>
    <w:rsid w:val="3F762E8E"/>
    <w:rsid w:val="3F7D1F47"/>
    <w:rsid w:val="3F80043B"/>
    <w:rsid w:val="3F916157"/>
    <w:rsid w:val="3F985AE2"/>
    <w:rsid w:val="3FA36C86"/>
    <w:rsid w:val="3FA72BC9"/>
    <w:rsid w:val="3FA81600"/>
    <w:rsid w:val="3FB37067"/>
    <w:rsid w:val="3FC10EA5"/>
    <w:rsid w:val="3FCE2739"/>
    <w:rsid w:val="3FCF4923"/>
    <w:rsid w:val="3FCFB3E8"/>
    <w:rsid w:val="3FD1113F"/>
    <w:rsid w:val="3FD47EC6"/>
    <w:rsid w:val="3FD78548"/>
    <w:rsid w:val="3FDF7A32"/>
    <w:rsid w:val="3FEF7205"/>
    <w:rsid w:val="3FF7BD19"/>
    <w:rsid w:val="3FFEF4F1"/>
    <w:rsid w:val="40007A90"/>
    <w:rsid w:val="401A063A"/>
    <w:rsid w:val="401E1570"/>
    <w:rsid w:val="40297A82"/>
    <w:rsid w:val="402A5051"/>
    <w:rsid w:val="402C3DD7"/>
    <w:rsid w:val="40307ED7"/>
    <w:rsid w:val="40442B0E"/>
    <w:rsid w:val="40477F08"/>
    <w:rsid w:val="4054751A"/>
    <w:rsid w:val="40595BA0"/>
    <w:rsid w:val="40674EB6"/>
    <w:rsid w:val="40730CFD"/>
    <w:rsid w:val="40782BD2"/>
    <w:rsid w:val="408B3DF1"/>
    <w:rsid w:val="408E4D75"/>
    <w:rsid w:val="408F6D1E"/>
    <w:rsid w:val="40953369"/>
    <w:rsid w:val="409B43BF"/>
    <w:rsid w:val="40A8309D"/>
    <w:rsid w:val="40C355D0"/>
    <w:rsid w:val="40D21EC7"/>
    <w:rsid w:val="40D47A68"/>
    <w:rsid w:val="40D838B3"/>
    <w:rsid w:val="40D8646E"/>
    <w:rsid w:val="40D91972"/>
    <w:rsid w:val="40E12601"/>
    <w:rsid w:val="40E20083"/>
    <w:rsid w:val="40E25782"/>
    <w:rsid w:val="40EA1C0C"/>
    <w:rsid w:val="40F847A5"/>
    <w:rsid w:val="40FE08AC"/>
    <w:rsid w:val="41016309"/>
    <w:rsid w:val="41055CD0"/>
    <w:rsid w:val="4124436F"/>
    <w:rsid w:val="41282D76"/>
    <w:rsid w:val="412F2700"/>
    <w:rsid w:val="41490D2C"/>
    <w:rsid w:val="41550306"/>
    <w:rsid w:val="41610E0B"/>
    <w:rsid w:val="416A5299"/>
    <w:rsid w:val="4172666D"/>
    <w:rsid w:val="418B5019"/>
    <w:rsid w:val="418D4040"/>
    <w:rsid w:val="41916F22"/>
    <w:rsid w:val="419249A3"/>
    <w:rsid w:val="419420A5"/>
    <w:rsid w:val="41970E2B"/>
    <w:rsid w:val="419A45A9"/>
    <w:rsid w:val="419D24D5"/>
    <w:rsid w:val="41A448BE"/>
    <w:rsid w:val="41AA67C7"/>
    <w:rsid w:val="41C37371"/>
    <w:rsid w:val="41D11F0A"/>
    <w:rsid w:val="41DF59E2"/>
    <w:rsid w:val="41E06CA1"/>
    <w:rsid w:val="41E14722"/>
    <w:rsid w:val="41E43129"/>
    <w:rsid w:val="41E740AD"/>
    <w:rsid w:val="41EA08B5"/>
    <w:rsid w:val="41EA2AA6"/>
    <w:rsid w:val="41F149BD"/>
    <w:rsid w:val="42094278"/>
    <w:rsid w:val="4210424C"/>
    <w:rsid w:val="421F7A8A"/>
    <w:rsid w:val="422830F8"/>
    <w:rsid w:val="42332EA8"/>
    <w:rsid w:val="42436057"/>
    <w:rsid w:val="42B424FC"/>
    <w:rsid w:val="42D25330"/>
    <w:rsid w:val="42D96EB9"/>
    <w:rsid w:val="42DF0455"/>
    <w:rsid w:val="42E73581"/>
    <w:rsid w:val="42F308B1"/>
    <w:rsid w:val="42FA2C71"/>
    <w:rsid w:val="431B5DA8"/>
    <w:rsid w:val="432C0EC1"/>
    <w:rsid w:val="432D21C6"/>
    <w:rsid w:val="43497B64"/>
    <w:rsid w:val="43552086"/>
    <w:rsid w:val="435A3F8F"/>
    <w:rsid w:val="43636E1D"/>
    <w:rsid w:val="43706133"/>
    <w:rsid w:val="437C5721"/>
    <w:rsid w:val="437D79C7"/>
    <w:rsid w:val="437F097B"/>
    <w:rsid w:val="4389125B"/>
    <w:rsid w:val="438C7FE1"/>
    <w:rsid w:val="43942E6F"/>
    <w:rsid w:val="43A97591"/>
    <w:rsid w:val="43B65E76"/>
    <w:rsid w:val="43CC2FC9"/>
    <w:rsid w:val="43D321DE"/>
    <w:rsid w:val="43E901E7"/>
    <w:rsid w:val="43EE5795"/>
    <w:rsid w:val="43F67691"/>
    <w:rsid w:val="440469A6"/>
    <w:rsid w:val="440F27B9"/>
    <w:rsid w:val="441668C0"/>
    <w:rsid w:val="44181DC4"/>
    <w:rsid w:val="442517E5"/>
    <w:rsid w:val="44464E91"/>
    <w:rsid w:val="445057A1"/>
    <w:rsid w:val="44605A3B"/>
    <w:rsid w:val="44632243"/>
    <w:rsid w:val="44644441"/>
    <w:rsid w:val="44682E47"/>
    <w:rsid w:val="446D2B52"/>
    <w:rsid w:val="446D72CF"/>
    <w:rsid w:val="44923C8C"/>
    <w:rsid w:val="44942A12"/>
    <w:rsid w:val="44954C10"/>
    <w:rsid w:val="44B16810"/>
    <w:rsid w:val="44BB06D3"/>
    <w:rsid w:val="44BE1474"/>
    <w:rsid w:val="44CC63EF"/>
    <w:rsid w:val="44CF7374"/>
    <w:rsid w:val="44E8249C"/>
    <w:rsid w:val="44EC107E"/>
    <w:rsid w:val="44F55F2E"/>
    <w:rsid w:val="44FF5922"/>
    <w:rsid w:val="451C7473"/>
    <w:rsid w:val="454959B9"/>
    <w:rsid w:val="454B0EBC"/>
    <w:rsid w:val="455F7B5C"/>
    <w:rsid w:val="45644C40"/>
    <w:rsid w:val="45647867"/>
    <w:rsid w:val="458B5528"/>
    <w:rsid w:val="4592661E"/>
    <w:rsid w:val="45931DB9"/>
    <w:rsid w:val="459425B5"/>
    <w:rsid w:val="45A858ED"/>
    <w:rsid w:val="45B75FEC"/>
    <w:rsid w:val="45BA27F4"/>
    <w:rsid w:val="45C9178A"/>
    <w:rsid w:val="45CD3A13"/>
    <w:rsid w:val="45DF172F"/>
    <w:rsid w:val="45ED1125"/>
    <w:rsid w:val="46063934"/>
    <w:rsid w:val="4614088C"/>
    <w:rsid w:val="46454957"/>
    <w:rsid w:val="46641988"/>
    <w:rsid w:val="46652C8D"/>
    <w:rsid w:val="4666070F"/>
    <w:rsid w:val="468C48C7"/>
    <w:rsid w:val="4694664D"/>
    <w:rsid w:val="46A26D85"/>
    <w:rsid w:val="46AC6D17"/>
    <w:rsid w:val="46CF6AB9"/>
    <w:rsid w:val="46F224F1"/>
    <w:rsid w:val="46F53476"/>
    <w:rsid w:val="4702600D"/>
    <w:rsid w:val="47213040"/>
    <w:rsid w:val="47240FA3"/>
    <w:rsid w:val="472552CA"/>
    <w:rsid w:val="472829CB"/>
    <w:rsid w:val="472B71D3"/>
    <w:rsid w:val="474779FD"/>
    <w:rsid w:val="47521611"/>
    <w:rsid w:val="47721B46"/>
    <w:rsid w:val="4776054C"/>
    <w:rsid w:val="47874069"/>
    <w:rsid w:val="47916B77"/>
    <w:rsid w:val="479245F9"/>
    <w:rsid w:val="479779C7"/>
    <w:rsid w:val="47986502"/>
    <w:rsid w:val="479A1A05"/>
    <w:rsid w:val="47A4404E"/>
    <w:rsid w:val="47B84838"/>
    <w:rsid w:val="47BDBB43"/>
    <w:rsid w:val="47C84AD3"/>
    <w:rsid w:val="47EB7590"/>
    <w:rsid w:val="481316CF"/>
    <w:rsid w:val="48241969"/>
    <w:rsid w:val="482D69F6"/>
    <w:rsid w:val="48463AA4"/>
    <w:rsid w:val="484F03D9"/>
    <w:rsid w:val="48541414"/>
    <w:rsid w:val="48671159"/>
    <w:rsid w:val="48854E86"/>
    <w:rsid w:val="489C032E"/>
    <w:rsid w:val="48AC05C9"/>
    <w:rsid w:val="48B843DB"/>
    <w:rsid w:val="48BB4B86"/>
    <w:rsid w:val="48E1714C"/>
    <w:rsid w:val="48EB3931"/>
    <w:rsid w:val="48EC13B2"/>
    <w:rsid w:val="49030FD7"/>
    <w:rsid w:val="491A0BFD"/>
    <w:rsid w:val="49250AAD"/>
    <w:rsid w:val="4928696B"/>
    <w:rsid w:val="4934502A"/>
    <w:rsid w:val="49352AAB"/>
    <w:rsid w:val="493A4AAE"/>
    <w:rsid w:val="493C6BB3"/>
    <w:rsid w:val="494B13CC"/>
    <w:rsid w:val="4950607F"/>
    <w:rsid w:val="496F6108"/>
    <w:rsid w:val="497B799C"/>
    <w:rsid w:val="4984282A"/>
    <w:rsid w:val="49880C8F"/>
    <w:rsid w:val="498E69BD"/>
    <w:rsid w:val="49A17BDC"/>
    <w:rsid w:val="49A40B61"/>
    <w:rsid w:val="49BF718C"/>
    <w:rsid w:val="49C16E0C"/>
    <w:rsid w:val="49C3230F"/>
    <w:rsid w:val="49C51095"/>
    <w:rsid w:val="49DD673C"/>
    <w:rsid w:val="49EB34D3"/>
    <w:rsid w:val="49F41BE5"/>
    <w:rsid w:val="4A152119"/>
    <w:rsid w:val="4A17561C"/>
    <w:rsid w:val="4A192D1E"/>
    <w:rsid w:val="4A1E7312"/>
    <w:rsid w:val="4A2139AD"/>
    <w:rsid w:val="4A22142F"/>
    <w:rsid w:val="4A267E35"/>
    <w:rsid w:val="4A4970F0"/>
    <w:rsid w:val="4A4A0D21"/>
    <w:rsid w:val="4A500C79"/>
    <w:rsid w:val="4A542F03"/>
    <w:rsid w:val="4A5E7F8F"/>
    <w:rsid w:val="4A641E98"/>
    <w:rsid w:val="4A767B3D"/>
    <w:rsid w:val="4A800BE6"/>
    <w:rsid w:val="4A8039C7"/>
    <w:rsid w:val="4A811448"/>
    <w:rsid w:val="4A830E92"/>
    <w:rsid w:val="4A9013C0"/>
    <w:rsid w:val="4A944BE6"/>
    <w:rsid w:val="4A9A009E"/>
    <w:rsid w:val="4AA56185"/>
    <w:rsid w:val="4AAE1013"/>
    <w:rsid w:val="4ABD14F2"/>
    <w:rsid w:val="4ABE526B"/>
    <w:rsid w:val="4AC23537"/>
    <w:rsid w:val="4AD25D50"/>
    <w:rsid w:val="4AE44CD1"/>
    <w:rsid w:val="4AE97B73"/>
    <w:rsid w:val="4AED1DFC"/>
    <w:rsid w:val="4AF615E5"/>
    <w:rsid w:val="4AF95C0F"/>
    <w:rsid w:val="4B170A42"/>
    <w:rsid w:val="4B1F5E4F"/>
    <w:rsid w:val="4B271062"/>
    <w:rsid w:val="4B2A63DE"/>
    <w:rsid w:val="4B2B4BFE"/>
    <w:rsid w:val="4B2C0426"/>
    <w:rsid w:val="4B310E2D"/>
    <w:rsid w:val="4B343D27"/>
    <w:rsid w:val="4B3756F4"/>
    <w:rsid w:val="4B378668"/>
    <w:rsid w:val="4B380F77"/>
    <w:rsid w:val="4B603035"/>
    <w:rsid w:val="4B652D40"/>
    <w:rsid w:val="4B6A2627"/>
    <w:rsid w:val="4B7C13AE"/>
    <w:rsid w:val="4B894F33"/>
    <w:rsid w:val="4B8F7407"/>
    <w:rsid w:val="4BA96D8B"/>
    <w:rsid w:val="4BB02A42"/>
    <w:rsid w:val="4BB22E3F"/>
    <w:rsid w:val="4BB3503D"/>
    <w:rsid w:val="4BB46342"/>
    <w:rsid w:val="4BBB5CCD"/>
    <w:rsid w:val="4BC845F3"/>
    <w:rsid w:val="4BCB5F67"/>
    <w:rsid w:val="4BDF193C"/>
    <w:rsid w:val="4BE668C8"/>
    <w:rsid w:val="4BE67E16"/>
    <w:rsid w:val="4BE9157A"/>
    <w:rsid w:val="4BEC054E"/>
    <w:rsid w:val="4BF63D1F"/>
    <w:rsid w:val="4BFA0DE1"/>
    <w:rsid w:val="4BFE54BD"/>
    <w:rsid w:val="4C0E7CD6"/>
    <w:rsid w:val="4C1053D7"/>
    <w:rsid w:val="4C1550E2"/>
    <w:rsid w:val="4C2A1804"/>
    <w:rsid w:val="4C2F6420"/>
    <w:rsid w:val="4C43011D"/>
    <w:rsid w:val="4C4727B6"/>
    <w:rsid w:val="4C5835CD"/>
    <w:rsid w:val="4C5A5B9B"/>
    <w:rsid w:val="4C5E0D5A"/>
    <w:rsid w:val="4C7B71ED"/>
    <w:rsid w:val="4C831E93"/>
    <w:rsid w:val="4C9163CC"/>
    <w:rsid w:val="4CA20604"/>
    <w:rsid w:val="4CB14F60"/>
    <w:rsid w:val="4CBD45F6"/>
    <w:rsid w:val="4CC84B86"/>
    <w:rsid w:val="4CC90409"/>
    <w:rsid w:val="4CCC1EC1"/>
    <w:rsid w:val="4CCD79EF"/>
    <w:rsid w:val="4CDA6125"/>
    <w:rsid w:val="4CED7F85"/>
    <w:rsid w:val="4CEE1542"/>
    <w:rsid w:val="4D06434E"/>
    <w:rsid w:val="4D0C49B3"/>
    <w:rsid w:val="4D197E75"/>
    <w:rsid w:val="4D1A4990"/>
    <w:rsid w:val="4D1E3396"/>
    <w:rsid w:val="4D206899"/>
    <w:rsid w:val="4D276224"/>
    <w:rsid w:val="4D2A71A9"/>
    <w:rsid w:val="4D2D232C"/>
    <w:rsid w:val="4D2E4D06"/>
    <w:rsid w:val="4D40134C"/>
    <w:rsid w:val="4D463256"/>
    <w:rsid w:val="4D470CD7"/>
    <w:rsid w:val="4D485A5C"/>
    <w:rsid w:val="4D4941DA"/>
    <w:rsid w:val="4D750521"/>
    <w:rsid w:val="4D77007F"/>
    <w:rsid w:val="4D796F28"/>
    <w:rsid w:val="4D8B3B2A"/>
    <w:rsid w:val="4D91362C"/>
    <w:rsid w:val="4D9C0791"/>
    <w:rsid w:val="4DA335EF"/>
    <w:rsid w:val="4DAC647D"/>
    <w:rsid w:val="4DC0511E"/>
    <w:rsid w:val="4DCC49A4"/>
    <w:rsid w:val="4DDF2862"/>
    <w:rsid w:val="4DDF9930"/>
    <w:rsid w:val="4DEB61A9"/>
    <w:rsid w:val="4DF11170"/>
    <w:rsid w:val="4DF80AFB"/>
    <w:rsid w:val="4E04490D"/>
    <w:rsid w:val="4E125E21"/>
    <w:rsid w:val="4E175B2C"/>
    <w:rsid w:val="4E233B3D"/>
    <w:rsid w:val="4E2A34C8"/>
    <w:rsid w:val="4E2A6D4B"/>
    <w:rsid w:val="4E39442C"/>
    <w:rsid w:val="4E4D7031"/>
    <w:rsid w:val="4E581E19"/>
    <w:rsid w:val="4E5C4F9C"/>
    <w:rsid w:val="4E5D62A1"/>
    <w:rsid w:val="4E622728"/>
    <w:rsid w:val="4E79234E"/>
    <w:rsid w:val="4E8406DF"/>
    <w:rsid w:val="4E9F71CD"/>
    <w:rsid w:val="4EB77C34"/>
    <w:rsid w:val="4EBF6F69"/>
    <w:rsid w:val="4EC04CC0"/>
    <w:rsid w:val="4ED82367"/>
    <w:rsid w:val="4EE264FA"/>
    <w:rsid w:val="4EE4617A"/>
    <w:rsid w:val="4EE670FE"/>
    <w:rsid w:val="4EE90083"/>
    <w:rsid w:val="4EED6FDC"/>
    <w:rsid w:val="4EF57719"/>
    <w:rsid w:val="4F0679B3"/>
    <w:rsid w:val="4F0963B9"/>
    <w:rsid w:val="4F1135BC"/>
    <w:rsid w:val="4F1D75D8"/>
    <w:rsid w:val="4F30407B"/>
    <w:rsid w:val="4F360182"/>
    <w:rsid w:val="4F506B2E"/>
    <w:rsid w:val="4F5543EF"/>
    <w:rsid w:val="4F6050C6"/>
    <w:rsid w:val="4F61484A"/>
    <w:rsid w:val="4F832800"/>
    <w:rsid w:val="4F88250B"/>
    <w:rsid w:val="4F8C6EF0"/>
    <w:rsid w:val="4F8F1E96"/>
    <w:rsid w:val="4F9C11AB"/>
    <w:rsid w:val="4F9C201E"/>
    <w:rsid w:val="4F9F6911"/>
    <w:rsid w:val="4F9F7C0C"/>
    <w:rsid w:val="4FA07BA9"/>
    <w:rsid w:val="4FA07BB2"/>
    <w:rsid w:val="4FADC5C6"/>
    <w:rsid w:val="4FB50A50"/>
    <w:rsid w:val="4FB87457"/>
    <w:rsid w:val="4FCD197A"/>
    <w:rsid w:val="4FCF4E7E"/>
    <w:rsid w:val="4FF02E34"/>
    <w:rsid w:val="500100D3"/>
    <w:rsid w:val="500243D3"/>
    <w:rsid w:val="50031E55"/>
    <w:rsid w:val="500F5C67"/>
    <w:rsid w:val="501375C6"/>
    <w:rsid w:val="501555F2"/>
    <w:rsid w:val="5019342A"/>
    <w:rsid w:val="50242389"/>
    <w:rsid w:val="50371D47"/>
    <w:rsid w:val="503F09B5"/>
    <w:rsid w:val="504B75A0"/>
    <w:rsid w:val="50586353"/>
    <w:rsid w:val="505C7F65"/>
    <w:rsid w:val="505E1269"/>
    <w:rsid w:val="506378EF"/>
    <w:rsid w:val="50716430"/>
    <w:rsid w:val="50737B8A"/>
    <w:rsid w:val="5075308D"/>
    <w:rsid w:val="507941C5"/>
    <w:rsid w:val="507E5F1B"/>
    <w:rsid w:val="508323A3"/>
    <w:rsid w:val="50851129"/>
    <w:rsid w:val="5092043F"/>
    <w:rsid w:val="50BF0009"/>
    <w:rsid w:val="50CD4DA0"/>
    <w:rsid w:val="50D13F4A"/>
    <w:rsid w:val="50D6330E"/>
    <w:rsid w:val="50EA68CF"/>
    <w:rsid w:val="50EE52D5"/>
    <w:rsid w:val="50FB4F07"/>
    <w:rsid w:val="50FE5570"/>
    <w:rsid w:val="51083E00"/>
    <w:rsid w:val="510D1493"/>
    <w:rsid w:val="511922CC"/>
    <w:rsid w:val="511D5E24"/>
    <w:rsid w:val="513656C9"/>
    <w:rsid w:val="514968E8"/>
    <w:rsid w:val="515B2086"/>
    <w:rsid w:val="515F1555"/>
    <w:rsid w:val="51663C9A"/>
    <w:rsid w:val="516D3625"/>
    <w:rsid w:val="517E44CE"/>
    <w:rsid w:val="518100C7"/>
    <w:rsid w:val="51892F55"/>
    <w:rsid w:val="519129C5"/>
    <w:rsid w:val="519D1BF6"/>
    <w:rsid w:val="51A87F87"/>
    <w:rsid w:val="51AD660D"/>
    <w:rsid w:val="51B6149B"/>
    <w:rsid w:val="51C20B31"/>
    <w:rsid w:val="520A5FFA"/>
    <w:rsid w:val="52114133"/>
    <w:rsid w:val="52141834"/>
    <w:rsid w:val="521C24C4"/>
    <w:rsid w:val="521F5647"/>
    <w:rsid w:val="52301165"/>
    <w:rsid w:val="524013FF"/>
    <w:rsid w:val="52443688"/>
    <w:rsid w:val="52455887"/>
    <w:rsid w:val="524F3C18"/>
    <w:rsid w:val="5261453C"/>
    <w:rsid w:val="52653BBD"/>
    <w:rsid w:val="527A02DF"/>
    <w:rsid w:val="527A4A5C"/>
    <w:rsid w:val="52856670"/>
    <w:rsid w:val="528775F5"/>
    <w:rsid w:val="528A4CF6"/>
    <w:rsid w:val="528E48AC"/>
    <w:rsid w:val="5296438C"/>
    <w:rsid w:val="529E721A"/>
    <w:rsid w:val="52B3173E"/>
    <w:rsid w:val="52B471BF"/>
    <w:rsid w:val="52BD424C"/>
    <w:rsid w:val="52CC4866"/>
    <w:rsid w:val="52DB707F"/>
    <w:rsid w:val="52DC4B00"/>
    <w:rsid w:val="52E015A1"/>
    <w:rsid w:val="52E61B8D"/>
    <w:rsid w:val="52EF249C"/>
    <w:rsid w:val="52F037A1"/>
    <w:rsid w:val="52F25164"/>
    <w:rsid w:val="52F83A10"/>
    <w:rsid w:val="52FF2753"/>
    <w:rsid w:val="53057EDB"/>
    <w:rsid w:val="530733C6"/>
    <w:rsid w:val="53175BDF"/>
    <w:rsid w:val="534053B7"/>
    <w:rsid w:val="53450CAD"/>
    <w:rsid w:val="534C3D5B"/>
    <w:rsid w:val="534C4DB4"/>
    <w:rsid w:val="537666CE"/>
    <w:rsid w:val="537B5903"/>
    <w:rsid w:val="53982AFD"/>
    <w:rsid w:val="53A21A80"/>
    <w:rsid w:val="53AC1956"/>
    <w:rsid w:val="53C85A03"/>
    <w:rsid w:val="53DC24A5"/>
    <w:rsid w:val="53E21E30"/>
    <w:rsid w:val="53F3BBC7"/>
    <w:rsid w:val="540F6177"/>
    <w:rsid w:val="54124B7D"/>
    <w:rsid w:val="543E3443"/>
    <w:rsid w:val="54442DCE"/>
    <w:rsid w:val="545C0475"/>
    <w:rsid w:val="545C1D7C"/>
    <w:rsid w:val="546E1A14"/>
    <w:rsid w:val="54724B97"/>
    <w:rsid w:val="54C05F9B"/>
    <w:rsid w:val="54D1276A"/>
    <w:rsid w:val="54E35C23"/>
    <w:rsid w:val="54EC75A4"/>
    <w:rsid w:val="54F613CB"/>
    <w:rsid w:val="54FB7079"/>
    <w:rsid w:val="54FC257C"/>
    <w:rsid w:val="54FF3501"/>
    <w:rsid w:val="550A1892"/>
    <w:rsid w:val="5511121D"/>
    <w:rsid w:val="55126C9E"/>
    <w:rsid w:val="551556A5"/>
    <w:rsid w:val="551E3DB6"/>
    <w:rsid w:val="552114B7"/>
    <w:rsid w:val="552D47E8"/>
    <w:rsid w:val="552F38AB"/>
    <w:rsid w:val="55346855"/>
    <w:rsid w:val="553E2FE6"/>
    <w:rsid w:val="555A439E"/>
    <w:rsid w:val="55631609"/>
    <w:rsid w:val="556E620B"/>
    <w:rsid w:val="557D24DC"/>
    <w:rsid w:val="557E3F74"/>
    <w:rsid w:val="55857A6A"/>
    <w:rsid w:val="55897BE2"/>
    <w:rsid w:val="558F536E"/>
    <w:rsid w:val="559439F4"/>
    <w:rsid w:val="559A1DFE"/>
    <w:rsid w:val="559B1181"/>
    <w:rsid w:val="55AD491E"/>
    <w:rsid w:val="55B13325"/>
    <w:rsid w:val="55C05FE5"/>
    <w:rsid w:val="55CC1183"/>
    <w:rsid w:val="55D36D5C"/>
    <w:rsid w:val="55D668A1"/>
    <w:rsid w:val="55E118F5"/>
    <w:rsid w:val="56126841"/>
    <w:rsid w:val="561342C3"/>
    <w:rsid w:val="562502E5"/>
    <w:rsid w:val="56372121"/>
    <w:rsid w:val="5647509D"/>
    <w:rsid w:val="56530930"/>
    <w:rsid w:val="566D36D8"/>
    <w:rsid w:val="56777341"/>
    <w:rsid w:val="56812378"/>
    <w:rsid w:val="568B650B"/>
    <w:rsid w:val="568E54E3"/>
    <w:rsid w:val="56941CA1"/>
    <w:rsid w:val="56A25686"/>
    <w:rsid w:val="56AA478D"/>
    <w:rsid w:val="56AD4B11"/>
    <w:rsid w:val="56AFAB61"/>
    <w:rsid w:val="56B93B57"/>
    <w:rsid w:val="56BD287A"/>
    <w:rsid w:val="56BFBA18"/>
    <w:rsid w:val="56E46B9A"/>
    <w:rsid w:val="56F72230"/>
    <w:rsid w:val="57013F4B"/>
    <w:rsid w:val="57016C0B"/>
    <w:rsid w:val="57044ED0"/>
    <w:rsid w:val="571452A4"/>
    <w:rsid w:val="571873F4"/>
    <w:rsid w:val="572172AD"/>
    <w:rsid w:val="5730129E"/>
    <w:rsid w:val="57391B27"/>
    <w:rsid w:val="573A53AA"/>
    <w:rsid w:val="573A75A8"/>
    <w:rsid w:val="573F1832"/>
    <w:rsid w:val="57563E08"/>
    <w:rsid w:val="57576ED8"/>
    <w:rsid w:val="57617774"/>
    <w:rsid w:val="57723665"/>
    <w:rsid w:val="57725C07"/>
    <w:rsid w:val="57730A07"/>
    <w:rsid w:val="5774428A"/>
    <w:rsid w:val="57764DC2"/>
    <w:rsid w:val="57A027D0"/>
    <w:rsid w:val="57A54A59"/>
    <w:rsid w:val="57BB0DFB"/>
    <w:rsid w:val="57D37254"/>
    <w:rsid w:val="57D77117"/>
    <w:rsid w:val="57E44562"/>
    <w:rsid w:val="57EE6152"/>
    <w:rsid w:val="57F70FE0"/>
    <w:rsid w:val="57F86A62"/>
    <w:rsid w:val="57F91F65"/>
    <w:rsid w:val="57FD096B"/>
    <w:rsid w:val="57FE2B69"/>
    <w:rsid w:val="580759F7"/>
    <w:rsid w:val="581F559B"/>
    <w:rsid w:val="58244FA7"/>
    <w:rsid w:val="582B2889"/>
    <w:rsid w:val="582F1556"/>
    <w:rsid w:val="58353010"/>
    <w:rsid w:val="58407CFE"/>
    <w:rsid w:val="5843585C"/>
    <w:rsid w:val="584849BF"/>
    <w:rsid w:val="58660CE3"/>
    <w:rsid w:val="586A7C9A"/>
    <w:rsid w:val="58701BA4"/>
    <w:rsid w:val="58722B28"/>
    <w:rsid w:val="587A5D36"/>
    <w:rsid w:val="588F2810"/>
    <w:rsid w:val="589720B6"/>
    <w:rsid w:val="589F26F3"/>
    <w:rsid w:val="58B0040F"/>
    <w:rsid w:val="58B00E4B"/>
    <w:rsid w:val="58B65B9B"/>
    <w:rsid w:val="58CF6576"/>
    <w:rsid w:val="58D64DCB"/>
    <w:rsid w:val="58E608E9"/>
    <w:rsid w:val="58FB78AD"/>
    <w:rsid w:val="5906266D"/>
    <w:rsid w:val="59195206"/>
    <w:rsid w:val="592B226D"/>
    <w:rsid w:val="592F675E"/>
    <w:rsid w:val="59322CDD"/>
    <w:rsid w:val="5940227C"/>
    <w:rsid w:val="594302D2"/>
    <w:rsid w:val="59481887"/>
    <w:rsid w:val="59525A19"/>
    <w:rsid w:val="59564420"/>
    <w:rsid w:val="597823D6"/>
    <w:rsid w:val="59843473"/>
    <w:rsid w:val="598900F2"/>
    <w:rsid w:val="59957788"/>
    <w:rsid w:val="599C2C1B"/>
    <w:rsid w:val="599E4814"/>
    <w:rsid w:val="59A3451F"/>
    <w:rsid w:val="59AA0627"/>
    <w:rsid w:val="59BB6342"/>
    <w:rsid w:val="59BE2B4A"/>
    <w:rsid w:val="59CE248B"/>
    <w:rsid w:val="59D949F9"/>
    <w:rsid w:val="59DC230F"/>
    <w:rsid w:val="59EC0462"/>
    <w:rsid w:val="59EF2443"/>
    <w:rsid w:val="59FD00B1"/>
    <w:rsid w:val="5A0148B9"/>
    <w:rsid w:val="5A024538"/>
    <w:rsid w:val="5A0532BF"/>
    <w:rsid w:val="5A3906F8"/>
    <w:rsid w:val="5A401E1F"/>
    <w:rsid w:val="5A420BA5"/>
    <w:rsid w:val="5A482AAE"/>
    <w:rsid w:val="5A4C5C31"/>
    <w:rsid w:val="5A571A44"/>
    <w:rsid w:val="5A6667DB"/>
    <w:rsid w:val="5A6B0F6B"/>
    <w:rsid w:val="5A743572"/>
    <w:rsid w:val="5A82520F"/>
    <w:rsid w:val="5A871B1D"/>
    <w:rsid w:val="5AB47BDF"/>
    <w:rsid w:val="5AB55661"/>
    <w:rsid w:val="5ABC71EA"/>
    <w:rsid w:val="5ACC5286"/>
    <w:rsid w:val="5ACD2D08"/>
    <w:rsid w:val="5AE119A8"/>
    <w:rsid w:val="5AED79B9"/>
    <w:rsid w:val="5AEE323C"/>
    <w:rsid w:val="5AF30F60"/>
    <w:rsid w:val="5AF35146"/>
    <w:rsid w:val="5AFC7E15"/>
    <w:rsid w:val="5AFE34D7"/>
    <w:rsid w:val="5B084A0C"/>
    <w:rsid w:val="5B0B27EC"/>
    <w:rsid w:val="5B0F11F3"/>
    <w:rsid w:val="5B1146F6"/>
    <w:rsid w:val="5B27469B"/>
    <w:rsid w:val="5B2C65A4"/>
    <w:rsid w:val="5B43595A"/>
    <w:rsid w:val="5B4A407B"/>
    <w:rsid w:val="5B661C01"/>
    <w:rsid w:val="5B715A14"/>
    <w:rsid w:val="5B75441A"/>
    <w:rsid w:val="5B767B83"/>
    <w:rsid w:val="5B7D466D"/>
    <w:rsid w:val="5B7F993B"/>
    <w:rsid w:val="5B80602E"/>
    <w:rsid w:val="5B8B1199"/>
    <w:rsid w:val="5B955B74"/>
    <w:rsid w:val="5B9B481E"/>
    <w:rsid w:val="5BB47782"/>
    <w:rsid w:val="5BC76675"/>
    <w:rsid w:val="5BCE2125"/>
    <w:rsid w:val="5BDF8823"/>
    <w:rsid w:val="5BF27267"/>
    <w:rsid w:val="5C003935"/>
    <w:rsid w:val="5C083989"/>
    <w:rsid w:val="5C0C5C12"/>
    <w:rsid w:val="5C0C7E11"/>
    <w:rsid w:val="5C27423E"/>
    <w:rsid w:val="5C350FD5"/>
    <w:rsid w:val="5C430981"/>
    <w:rsid w:val="5C450C11"/>
    <w:rsid w:val="5C4B60FF"/>
    <w:rsid w:val="5C4B69FC"/>
    <w:rsid w:val="5C5F7C1B"/>
    <w:rsid w:val="5C620B9F"/>
    <w:rsid w:val="5C6F7EB5"/>
    <w:rsid w:val="5C7A3CC8"/>
    <w:rsid w:val="5C88775A"/>
    <w:rsid w:val="5C9B41FC"/>
    <w:rsid w:val="5CD530DD"/>
    <w:rsid w:val="5D0A22B2"/>
    <w:rsid w:val="5D290C69"/>
    <w:rsid w:val="5D2F4A70"/>
    <w:rsid w:val="5D393E52"/>
    <w:rsid w:val="5D3F223B"/>
    <w:rsid w:val="5D41498A"/>
    <w:rsid w:val="5D437E8D"/>
    <w:rsid w:val="5D5C6839"/>
    <w:rsid w:val="5D5D9CAC"/>
    <w:rsid w:val="5D7F7CF2"/>
    <w:rsid w:val="5D97319B"/>
    <w:rsid w:val="5DA1152C"/>
    <w:rsid w:val="5DA73435"/>
    <w:rsid w:val="5DAA173B"/>
    <w:rsid w:val="5DB77E4C"/>
    <w:rsid w:val="5DBC1ADE"/>
    <w:rsid w:val="5DD451FE"/>
    <w:rsid w:val="5DEE3BA9"/>
    <w:rsid w:val="5DEF3829"/>
    <w:rsid w:val="5DEF4486"/>
    <w:rsid w:val="5DF47CB1"/>
    <w:rsid w:val="5DF7D4EA"/>
    <w:rsid w:val="5E007D87"/>
    <w:rsid w:val="5E0537CF"/>
    <w:rsid w:val="5E084D23"/>
    <w:rsid w:val="5E097C56"/>
    <w:rsid w:val="5E0F1C0D"/>
    <w:rsid w:val="5E1C55F2"/>
    <w:rsid w:val="5E1D0E75"/>
    <w:rsid w:val="5E1F6577"/>
    <w:rsid w:val="5E321120"/>
    <w:rsid w:val="5E405BB2"/>
    <w:rsid w:val="5E687C70"/>
    <w:rsid w:val="5EA57AD5"/>
    <w:rsid w:val="5EA65556"/>
    <w:rsid w:val="5EB64536"/>
    <w:rsid w:val="5EBB1C78"/>
    <w:rsid w:val="5EBD3D5F"/>
    <w:rsid w:val="5EDFB8F7"/>
    <w:rsid w:val="5EE508BE"/>
    <w:rsid w:val="5EE62ABD"/>
    <w:rsid w:val="5EF1760F"/>
    <w:rsid w:val="5EF9CAC3"/>
    <w:rsid w:val="5EFD2476"/>
    <w:rsid w:val="5EFF8FC4"/>
    <w:rsid w:val="5F0223ED"/>
    <w:rsid w:val="5F104F86"/>
    <w:rsid w:val="5F1D527D"/>
    <w:rsid w:val="5F2A7D2E"/>
    <w:rsid w:val="5F351942"/>
    <w:rsid w:val="5F3DD3C6"/>
    <w:rsid w:val="5F546974"/>
    <w:rsid w:val="5F6E2DA1"/>
    <w:rsid w:val="5F6E6E08"/>
    <w:rsid w:val="5F702A21"/>
    <w:rsid w:val="5F7239A5"/>
    <w:rsid w:val="5F7836B0"/>
    <w:rsid w:val="5F81207B"/>
    <w:rsid w:val="5F902F55"/>
    <w:rsid w:val="5F9451DF"/>
    <w:rsid w:val="5F9958C6"/>
    <w:rsid w:val="5F9C3975"/>
    <w:rsid w:val="5FA16A73"/>
    <w:rsid w:val="5FAFA570"/>
    <w:rsid w:val="5FB7ED99"/>
    <w:rsid w:val="5FBA1B9B"/>
    <w:rsid w:val="5FC66842"/>
    <w:rsid w:val="5FD03D3F"/>
    <w:rsid w:val="5FE307E1"/>
    <w:rsid w:val="5FE429DF"/>
    <w:rsid w:val="5FE71FE6"/>
    <w:rsid w:val="5FFC4413"/>
    <w:rsid w:val="5FFCB303"/>
    <w:rsid w:val="5FFD138B"/>
    <w:rsid w:val="5FFF55D0"/>
    <w:rsid w:val="5FFF5821"/>
    <w:rsid w:val="60003F04"/>
    <w:rsid w:val="60033294"/>
    <w:rsid w:val="60125AAD"/>
    <w:rsid w:val="60363DC9"/>
    <w:rsid w:val="60482704"/>
    <w:rsid w:val="604E460D"/>
    <w:rsid w:val="6056529D"/>
    <w:rsid w:val="605B3923"/>
    <w:rsid w:val="60710045"/>
    <w:rsid w:val="60725AC7"/>
    <w:rsid w:val="60761F4E"/>
    <w:rsid w:val="60817B6A"/>
    <w:rsid w:val="6084664B"/>
    <w:rsid w:val="60885CA7"/>
    <w:rsid w:val="60960285"/>
    <w:rsid w:val="60AD7DDE"/>
    <w:rsid w:val="60C1494C"/>
    <w:rsid w:val="60C223CE"/>
    <w:rsid w:val="60CF1B28"/>
    <w:rsid w:val="60E45E05"/>
    <w:rsid w:val="60EE69CE"/>
    <w:rsid w:val="60F96480"/>
    <w:rsid w:val="6102706E"/>
    <w:rsid w:val="6111528F"/>
    <w:rsid w:val="61293077"/>
    <w:rsid w:val="613434EE"/>
    <w:rsid w:val="6138147B"/>
    <w:rsid w:val="61402C9C"/>
    <w:rsid w:val="614442C4"/>
    <w:rsid w:val="61457124"/>
    <w:rsid w:val="614E7A33"/>
    <w:rsid w:val="616E1341"/>
    <w:rsid w:val="61747C73"/>
    <w:rsid w:val="61883090"/>
    <w:rsid w:val="618C46F3"/>
    <w:rsid w:val="619D0D81"/>
    <w:rsid w:val="61A50442"/>
    <w:rsid w:val="61BC489F"/>
    <w:rsid w:val="61CE1DDF"/>
    <w:rsid w:val="61DA2E9A"/>
    <w:rsid w:val="61DF3A9F"/>
    <w:rsid w:val="61E4421E"/>
    <w:rsid w:val="61E66CAD"/>
    <w:rsid w:val="62001A55"/>
    <w:rsid w:val="62053CDF"/>
    <w:rsid w:val="62142C74"/>
    <w:rsid w:val="62194B7D"/>
    <w:rsid w:val="622E70A1"/>
    <w:rsid w:val="624834CE"/>
    <w:rsid w:val="624B0BD0"/>
    <w:rsid w:val="626671FB"/>
    <w:rsid w:val="62674C7D"/>
    <w:rsid w:val="62743F92"/>
    <w:rsid w:val="6278621C"/>
    <w:rsid w:val="627F2323"/>
    <w:rsid w:val="62857AB0"/>
    <w:rsid w:val="628864B6"/>
    <w:rsid w:val="629F3EDD"/>
    <w:rsid w:val="62B17737"/>
    <w:rsid w:val="62B44D7C"/>
    <w:rsid w:val="62BA4707"/>
    <w:rsid w:val="62C21B13"/>
    <w:rsid w:val="62C3746A"/>
    <w:rsid w:val="62DD013F"/>
    <w:rsid w:val="62E13C90"/>
    <w:rsid w:val="63082288"/>
    <w:rsid w:val="63141A74"/>
    <w:rsid w:val="631669F1"/>
    <w:rsid w:val="63184AA0"/>
    <w:rsid w:val="63201EAD"/>
    <w:rsid w:val="63340B4D"/>
    <w:rsid w:val="63391308"/>
    <w:rsid w:val="634642EB"/>
    <w:rsid w:val="634E3D33"/>
    <w:rsid w:val="63515EFF"/>
    <w:rsid w:val="637D2246"/>
    <w:rsid w:val="63841BD1"/>
    <w:rsid w:val="63852ED6"/>
    <w:rsid w:val="6392476A"/>
    <w:rsid w:val="6396536F"/>
    <w:rsid w:val="63AB1A91"/>
    <w:rsid w:val="63AC7512"/>
    <w:rsid w:val="63AE2A15"/>
    <w:rsid w:val="63B401A2"/>
    <w:rsid w:val="63BF6541"/>
    <w:rsid w:val="63C72CC3"/>
    <w:rsid w:val="63D0424F"/>
    <w:rsid w:val="63D42C55"/>
    <w:rsid w:val="63E044E9"/>
    <w:rsid w:val="63EB287A"/>
    <w:rsid w:val="63ED1601"/>
    <w:rsid w:val="63F7410E"/>
    <w:rsid w:val="63FE0326"/>
    <w:rsid w:val="63FE4E86"/>
    <w:rsid w:val="64025D23"/>
    <w:rsid w:val="6404229C"/>
    <w:rsid w:val="640C0830"/>
    <w:rsid w:val="640D62B2"/>
    <w:rsid w:val="641649C3"/>
    <w:rsid w:val="64175CC0"/>
    <w:rsid w:val="64236413"/>
    <w:rsid w:val="6431668F"/>
    <w:rsid w:val="6444200F"/>
    <w:rsid w:val="64457A91"/>
    <w:rsid w:val="64475192"/>
    <w:rsid w:val="64552C0D"/>
    <w:rsid w:val="645544A8"/>
    <w:rsid w:val="645D5138"/>
    <w:rsid w:val="645E4DB7"/>
    <w:rsid w:val="646B664C"/>
    <w:rsid w:val="64760260"/>
    <w:rsid w:val="64783763"/>
    <w:rsid w:val="647B68E6"/>
    <w:rsid w:val="64A01811"/>
    <w:rsid w:val="64AC114E"/>
    <w:rsid w:val="64AD61BC"/>
    <w:rsid w:val="64B04EFF"/>
    <w:rsid w:val="64B24842"/>
    <w:rsid w:val="64B8674B"/>
    <w:rsid w:val="64B97A50"/>
    <w:rsid w:val="64BD370A"/>
    <w:rsid w:val="64C073DB"/>
    <w:rsid w:val="64C34ADC"/>
    <w:rsid w:val="64D57D88"/>
    <w:rsid w:val="64D8544F"/>
    <w:rsid w:val="64DF660A"/>
    <w:rsid w:val="64EE4740"/>
    <w:rsid w:val="64F87534"/>
    <w:rsid w:val="65083052"/>
    <w:rsid w:val="650C6EA7"/>
    <w:rsid w:val="65135015"/>
    <w:rsid w:val="651A2F6C"/>
    <w:rsid w:val="65354E1B"/>
    <w:rsid w:val="653D45D2"/>
    <w:rsid w:val="657B428A"/>
    <w:rsid w:val="65813C15"/>
    <w:rsid w:val="65844B9A"/>
    <w:rsid w:val="65864EAB"/>
    <w:rsid w:val="65865E9F"/>
    <w:rsid w:val="65886E23"/>
    <w:rsid w:val="658B50AB"/>
    <w:rsid w:val="65927733"/>
    <w:rsid w:val="65A74E21"/>
    <w:rsid w:val="65B456E9"/>
    <w:rsid w:val="65B732B6"/>
    <w:rsid w:val="65BB2AF6"/>
    <w:rsid w:val="65C76908"/>
    <w:rsid w:val="65D5369F"/>
    <w:rsid w:val="65DA33AA"/>
    <w:rsid w:val="65F43F54"/>
    <w:rsid w:val="65F91B21"/>
    <w:rsid w:val="65FB1228"/>
    <w:rsid w:val="65FE0FE0"/>
    <w:rsid w:val="660718F0"/>
    <w:rsid w:val="66081D64"/>
    <w:rsid w:val="66127C81"/>
    <w:rsid w:val="66135703"/>
    <w:rsid w:val="66146A07"/>
    <w:rsid w:val="66171B8A"/>
    <w:rsid w:val="6618540E"/>
    <w:rsid w:val="66192E8F"/>
    <w:rsid w:val="663A0E45"/>
    <w:rsid w:val="663F52CD"/>
    <w:rsid w:val="664571D6"/>
    <w:rsid w:val="664A237C"/>
    <w:rsid w:val="664B4963"/>
    <w:rsid w:val="664C2FA5"/>
    <w:rsid w:val="664E34EF"/>
    <w:rsid w:val="66686491"/>
    <w:rsid w:val="6672404B"/>
    <w:rsid w:val="667679A5"/>
    <w:rsid w:val="669435F8"/>
    <w:rsid w:val="66B02109"/>
    <w:rsid w:val="66B21D89"/>
    <w:rsid w:val="66B81714"/>
    <w:rsid w:val="66B83C92"/>
    <w:rsid w:val="66CB4EB1"/>
    <w:rsid w:val="66CE5E36"/>
    <w:rsid w:val="66D35B41"/>
    <w:rsid w:val="66D435C2"/>
    <w:rsid w:val="66D76745"/>
    <w:rsid w:val="66E35DDB"/>
    <w:rsid w:val="66F12B72"/>
    <w:rsid w:val="66FF570B"/>
    <w:rsid w:val="6700318D"/>
    <w:rsid w:val="67057615"/>
    <w:rsid w:val="67165330"/>
    <w:rsid w:val="67240808"/>
    <w:rsid w:val="67244646"/>
    <w:rsid w:val="672901E4"/>
    <w:rsid w:val="672D1356"/>
    <w:rsid w:val="67356ADF"/>
    <w:rsid w:val="673F5483"/>
    <w:rsid w:val="674006F3"/>
    <w:rsid w:val="67406551"/>
    <w:rsid w:val="675C2222"/>
    <w:rsid w:val="675E5725"/>
    <w:rsid w:val="67643476"/>
    <w:rsid w:val="67662B31"/>
    <w:rsid w:val="676E16C0"/>
    <w:rsid w:val="676F1242"/>
    <w:rsid w:val="677FCF65"/>
    <w:rsid w:val="67903975"/>
    <w:rsid w:val="67966BAB"/>
    <w:rsid w:val="67992086"/>
    <w:rsid w:val="679C6C08"/>
    <w:rsid w:val="67AB4B38"/>
    <w:rsid w:val="67AC6160"/>
    <w:rsid w:val="67B32C30"/>
    <w:rsid w:val="67BF482A"/>
    <w:rsid w:val="67DD3A75"/>
    <w:rsid w:val="67E049F9"/>
    <w:rsid w:val="67EA5309"/>
    <w:rsid w:val="67F30197"/>
    <w:rsid w:val="67FD6F7B"/>
    <w:rsid w:val="67FF1A2B"/>
    <w:rsid w:val="68033CB4"/>
    <w:rsid w:val="680F7AC7"/>
    <w:rsid w:val="682B15F5"/>
    <w:rsid w:val="68375408"/>
    <w:rsid w:val="68490BA5"/>
    <w:rsid w:val="684E08B0"/>
    <w:rsid w:val="685748DD"/>
    <w:rsid w:val="68733F68"/>
    <w:rsid w:val="6874526D"/>
    <w:rsid w:val="68907DEF"/>
    <w:rsid w:val="689A54AC"/>
    <w:rsid w:val="68AC4DA3"/>
    <w:rsid w:val="68AD66CB"/>
    <w:rsid w:val="68C078EA"/>
    <w:rsid w:val="68C84CF7"/>
    <w:rsid w:val="68E5668F"/>
    <w:rsid w:val="690412D8"/>
    <w:rsid w:val="69112B6D"/>
    <w:rsid w:val="691724F7"/>
    <w:rsid w:val="693B7234"/>
    <w:rsid w:val="693C4CB6"/>
    <w:rsid w:val="694158BA"/>
    <w:rsid w:val="69461D42"/>
    <w:rsid w:val="69475245"/>
    <w:rsid w:val="694B39AF"/>
    <w:rsid w:val="69686DFF"/>
    <w:rsid w:val="698414AB"/>
    <w:rsid w:val="69931E41"/>
    <w:rsid w:val="699F36D5"/>
    <w:rsid w:val="69A47B5D"/>
    <w:rsid w:val="69C603AD"/>
    <w:rsid w:val="69D72936"/>
    <w:rsid w:val="69E11A1D"/>
    <w:rsid w:val="69E2467A"/>
    <w:rsid w:val="69E7BD6D"/>
    <w:rsid w:val="69EE4AD9"/>
    <w:rsid w:val="69F40BE1"/>
    <w:rsid w:val="69F7892E"/>
    <w:rsid w:val="6A230B6F"/>
    <w:rsid w:val="6A3916D5"/>
    <w:rsid w:val="6A3F35DF"/>
    <w:rsid w:val="6A541EFF"/>
    <w:rsid w:val="6A667C1B"/>
    <w:rsid w:val="6A6E2AA9"/>
    <w:rsid w:val="6A7172B1"/>
    <w:rsid w:val="6A7D534A"/>
    <w:rsid w:val="6A935267"/>
    <w:rsid w:val="6AA56806"/>
    <w:rsid w:val="6AB60C9F"/>
    <w:rsid w:val="6ABA5C34"/>
    <w:rsid w:val="6AC14AB2"/>
    <w:rsid w:val="6ADD43E2"/>
    <w:rsid w:val="6AFB7215"/>
    <w:rsid w:val="6AFF2398"/>
    <w:rsid w:val="6B0777A4"/>
    <w:rsid w:val="6B090729"/>
    <w:rsid w:val="6B092CA7"/>
    <w:rsid w:val="6B0D712F"/>
    <w:rsid w:val="6B1D005F"/>
    <w:rsid w:val="6B217424"/>
    <w:rsid w:val="6B2D1BE2"/>
    <w:rsid w:val="6B2F1B41"/>
    <w:rsid w:val="6B37DE39"/>
    <w:rsid w:val="6B391278"/>
    <w:rsid w:val="6B4C2A3C"/>
    <w:rsid w:val="6B6F4633"/>
    <w:rsid w:val="6B79100E"/>
    <w:rsid w:val="6B803BEB"/>
    <w:rsid w:val="6B855C05"/>
    <w:rsid w:val="6BA3B606"/>
    <w:rsid w:val="6BBB33D4"/>
    <w:rsid w:val="6BCA2D65"/>
    <w:rsid w:val="6BD15F74"/>
    <w:rsid w:val="6BD239F5"/>
    <w:rsid w:val="6BD76E4B"/>
    <w:rsid w:val="6BEE2C86"/>
    <w:rsid w:val="6C003240"/>
    <w:rsid w:val="6C010CC1"/>
    <w:rsid w:val="6C0905E4"/>
    <w:rsid w:val="6C120F5B"/>
    <w:rsid w:val="6C236C77"/>
    <w:rsid w:val="6C2446F9"/>
    <w:rsid w:val="6C311952"/>
    <w:rsid w:val="6C39469E"/>
    <w:rsid w:val="6C47110C"/>
    <w:rsid w:val="6C673EE9"/>
    <w:rsid w:val="6C711CE5"/>
    <w:rsid w:val="6C8B53A2"/>
    <w:rsid w:val="6C8E6327"/>
    <w:rsid w:val="6CAF118B"/>
    <w:rsid w:val="6CBD6E76"/>
    <w:rsid w:val="6CCA2908"/>
    <w:rsid w:val="6CDB3B6B"/>
    <w:rsid w:val="6CFA3457"/>
    <w:rsid w:val="6D062AED"/>
    <w:rsid w:val="6D144001"/>
    <w:rsid w:val="6D171036"/>
    <w:rsid w:val="6D326E35"/>
    <w:rsid w:val="6D3B3EC1"/>
    <w:rsid w:val="6D3E7A54"/>
    <w:rsid w:val="6D47C9FD"/>
    <w:rsid w:val="6D752DA1"/>
    <w:rsid w:val="6D760823"/>
    <w:rsid w:val="6D7B44F7"/>
    <w:rsid w:val="6D7E14B2"/>
    <w:rsid w:val="6D8C29C6"/>
    <w:rsid w:val="6D8C2B97"/>
    <w:rsid w:val="6DB31073"/>
    <w:rsid w:val="6DBCDB5B"/>
    <w:rsid w:val="6DCE2536"/>
    <w:rsid w:val="6DD85044"/>
    <w:rsid w:val="6DE8785D"/>
    <w:rsid w:val="6DFE5284"/>
    <w:rsid w:val="6DFF0635"/>
    <w:rsid w:val="6E04334E"/>
    <w:rsid w:val="6E070B53"/>
    <w:rsid w:val="6E083615"/>
    <w:rsid w:val="6E272FA3"/>
    <w:rsid w:val="6E2C4ACE"/>
    <w:rsid w:val="6E2C68BE"/>
    <w:rsid w:val="6E3B6A4F"/>
    <w:rsid w:val="6E3D27EA"/>
    <w:rsid w:val="6E3D3EF4"/>
    <w:rsid w:val="6E426C72"/>
    <w:rsid w:val="6E445903"/>
    <w:rsid w:val="6E460EFB"/>
    <w:rsid w:val="6E503A09"/>
    <w:rsid w:val="6E524719"/>
    <w:rsid w:val="6E532C65"/>
    <w:rsid w:val="6E711D3F"/>
    <w:rsid w:val="6E752944"/>
    <w:rsid w:val="6E8509E0"/>
    <w:rsid w:val="6E875AE8"/>
    <w:rsid w:val="6EA9791B"/>
    <w:rsid w:val="6EB3022A"/>
    <w:rsid w:val="6EB56FB1"/>
    <w:rsid w:val="6EC425A0"/>
    <w:rsid w:val="6ECE9662"/>
    <w:rsid w:val="6ED22CDD"/>
    <w:rsid w:val="6EE64C0C"/>
    <w:rsid w:val="6EE82C83"/>
    <w:rsid w:val="6F046D30"/>
    <w:rsid w:val="6F26325B"/>
    <w:rsid w:val="6F2914EE"/>
    <w:rsid w:val="6F32657A"/>
    <w:rsid w:val="6F491A22"/>
    <w:rsid w:val="6F51EC00"/>
    <w:rsid w:val="6F5336E3"/>
    <w:rsid w:val="6F59B150"/>
    <w:rsid w:val="6F5E29F5"/>
    <w:rsid w:val="6F6C545A"/>
    <w:rsid w:val="6F734DE5"/>
    <w:rsid w:val="6F7E0BF8"/>
    <w:rsid w:val="6F920C48"/>
    <w:rsid w:val="6F93311C"/>
    <w:rsid w:val="6F94661F"/>
    <w:rsid w:val="6F9F6743"/>
    <w:rsid w:val="6FAA5C3A"/>
    <w:rsid w:val="6FAE71C8"/>
    <w:rsid w:val="6FAF4C4A"/>
    <w:rsid w:val="6FB71178"/>
    <w:rsid w:val="6FB9555A"/>
    <w:rsid w:val="6FBEF826"/>
    <w:rsid w:val="6FC6486F"/>
    <w:rsid w:val="6FCA62DC"/>
    <w:rsid w:val="6FCF2A35"/>
    <w:rsid w:val="6FD26F3F"/>
    <w:rsid w:val="6FEC122C"/>
    <w:rsid w:val="6FEF6F22"/>
    <w:rsid w:val="6FFB3DA3"/>
    <w:rsid w:val="6FFDD38E"/>
    <w:rsid w:val="7000374F"/>
    <w:rsid w:val="70030E51"/>
    <w:rsid w:val="700346D4"/>
    <w:rsid w:val="70057BD7"/>
    <w:rsid w:val="70130F5B"/>
    <w:rsid w:val="701469A1"/>
    <w:rsid w:val="702A6B12"/>
    <w:rsid w:val="70442F3F"/>
    <w:rsid w:val="704D384F"/>
    <w:rsid w:val="704E04FB"/>
    <w:rsid w:val="706A537D"/>
    <w:rsid w:val="708A15C7"/>
    <w:rsid w:val="708E6837"/>
    <w:rsid w:val="70940740"/>
    <w:rsid w:val="70A24B63"/>
    <w:rsid w:val="70B00070"/>
    <w:rsid w:val="70B51F79"/>
    <w:rsid w:val="70BE1584"/>
    <w:rsid w:val="70C2380D"/>
    <w:rsid w:val="70CC411D"/>
    <w:rsid w:val="70D16026"/>
    <w:rsid w:val="70DE1F3E"/>
    <w:rsid w:val="70DFC9C3"/>
    <w:rsid w:val="70E02DBE"/>
    <w:rsid w:val="70FD016F"/>
    <w:rsid w:val="710B1A7B"/>
    <w:rsid w:val="710F390D"/>
    <w:rsid w:val="71144511"/>
    <w:rsid w:val="711B1F19"/>
    <w:rsid w:val="712C543B"/>
    <w:rsid w:val="713F665A"/>
    <w:rsid w:val="714300F4"/>
    <w:rsid w:val="71597204"/>
    <w:rsid w:val="717C6C3D"/>
    <w:rsid w:val="7182385C"/>
    <w:rsid w:val="71845ACA"/>
    <w:rsid w:val="71887D53"/>
    <w:rsid w:val="719637E6"/>
    <w:rsid w:val="71AE185E"/>
    <w:rsid w:val="71C1726B"/>
    <w:rsid w:val="71D00147"/>
    <w:rsid w:val="71D430FC"/>
    <w:rsid w:val="71F9BB66"/>
    <w:rsid w:val="72085FBC"/>
    <w:rsid w:val="721C4D44"/>
    <w:rsid w:val="721F290F"/>
    <w:rsid w:val="7249770C"/>
    <w:rsid w:val="726227FC"/>
    <w:rsid w:val="727D3AE3"/>
    <w:rsid w:val="728978F6"/>
    <w:rsid w:val="72997B90"/>
    <w:rsid w:val="72A14F9D"/>
    <w:rsid w:val="72A33D23"/>
    <w:rsid w:val="72A439A3"/>
    <w:rsid w:val="72B729C4"/>
    <w:rsid w:val="72BF8406"/>
    <w:rsid w:val="72C61B6B"/>
    <w:rsid w:val="72CC70E6"/>
    <w:rsid w:val="72D059B7"/>
    <w:rsid w:val="72DE2883"/>
    <w:rsid w:val="72EC1B99"/>
    <w:rsid w:val="731352DC"/>
    <w:rsid w:val="731A4C66"/>
    <w:rsid w:val="734C4DE9"/>
    <w:rsid w:val="73530396"/>
    <w:rsid w:val="73661E78"/>
    <w:rsid w:val="7367DDF7"/>
    <w:rsid w:val="73691BC5"/>
    <w:rsid w:val="736949E6"/>
    <w:rsid w:val="7375030D"/>
    <w:rsid w:val="7384594D"/>
    <w:rsid w:val="738E13A2"/>
    <w:rsid w:val="73A50FC7"/>
    <w:rsid w:val="73A6484A"/>
    <w:rsid w:val="73C12E76"/>
    <w:rsid w:val="73E0372B"/>
    <w:rsid w:val="73E630B6"/>
    <w:rsid w:val="73EA1ABC"/>
    <w:rsid w:val="73EC1C67"/>
    <w:rsid w:val="73FE6FAD"/>
    <w:rsid w:val="740C41EF"/>
    <w:rsid w:val="741F0C91"/>
    <w:rsid w:val="744765D2"/>
    <w:rsid w:val="744A5358"/>
    <w:rsid w:val="744F39DE"/>
    <w:rsid w:val="74555614"/>
    <w:rsid w:val="74630481"/>
    <w:rsid w:val="747A00A6"/>
    <w:rsid w:val="748A6630"/>
    <w:rsid w:val="748C3843"/>
    <w:rsid w:val="74975458"/>
    <w:rsid w:val="74AD75FB"/>
    <w:rsid w:val="74B12817"/>
    <w:rsid w:val="74B56C06"/>
    <w:rsid w:val="74C40DF7"/>
    <w:rsid w:val="74D64800"/>
    <w:rsid w:val="74E60368"/>
    <w:rsid w:val="74FD067F"/>
    <w:rsid w:val="75042208"/>
    <w:rsid w:val="750758DC"/>
    <w:rsid w:val="75076A10"/>
    <w:rsid w:val="75117320"/>
    <w:rsid w:val="75173427"/>
    <w:rsid w:val="751A116C"/>
    <w:rsid w:val="752836C2"/>
    <w:rsid w:val="752E55CB"/>
    <w:rsid w:val="752F6EB3"/>
    <w:rsid w:val="75442FF2"/>
    <w:rsid w:val="7549747A"/>
    <w:rsid w:val="75524DAA"/>
    <w:rsid w:val="755A4665"/>
    <w:rsid w:val="75601421"/>
    <w:rsid w:val="756225A2"/>
    <w:rsid w:val="756B0CB3"/>
    <w:rsid w:val="757302BE"/>
    <w:rsid w:val="759FF3CF"/>
    <w:rsid w:val="75A82C1C"/>
    <w:rsid w:val="75BFB2B5"/>
    <w:rsid w:val="75C238C0"/>
    <w:rsid w:val="75C537CD"/>
    <w:rsid w:val="75D62561"/>
    <w:rsid w:val="75DC446A"/>
    <w:rsid w:val="75EB4746"/>
    <w:rsid w:val="75F776FF"/>
    <w:rsid w:val="760865B3"/>
    <w:rsid w:val="760A7538"/>
    <w:rsid w:val="76415493"/>
    <w:rsid w:val="76422F15"/>
    <w:rsid w:val="766259C8"/>
    <w:rsid w:val="7665694D"/>
    <w:rsid w:val="7671275F"/>
    <w:rsid w:val="76740D50"/>
    <w:rsid w:val="769D232A"/>
    <w:rsid w:val="76A828B9"/>
    <w:rsid w:val="76AE0046"/>
    <w:rsid w:val="76BB3AD8"/>
    <w:rsid w:val="76BB3D00"/>
    <w:rsid w:val="76BE1FCB"/>
    <w:rsid w:val="76C2509E"/>
    <w:rsid w:val="76D41F63"/>
    <w:rsid w:val="76D85607"/>
    <w:rsid w:val="76D9C991"/>
    <w:rsid w:val="76ED7B2A"/>
    <w:rsid w:val="76F147EA"/>
    <w:rsid w:val="76F971C0"/>
    <w:rsid w:val="77042FD3"/>
    <w:rsid w:val="7715546B"/>
    <w:rsid w:val="77165BF8"/>
    <w:rsid w:val="77232203"/>
    <w:rsid w:val="7725356D"/>
    <w:rsid w:val="77278897"/>
    <w:rsid w:val="772D6395"/>
    <w:rsid w:val="773109EF"/>
    <w:rsid w:val="7734249D"/>
    <w:rsid w:val="773B78A9"/>
    <w:rsid w:val="77453A3C"/>
    <w:rsid w:val="7753EA1F"/>
    <w:rsid w:val="775F34D3"/>
    <w:rsid w:val="776F6DFF"/>
    <w:rsid w:val="777454F6"/>
    <w:rsid w:val="777C1998"/>
    <w:rsid w:val="777D3C34"/>
    <w:rsid w:val="77AC46E5"/>
    <w:rsid w:val="77B9F2FD"/>
    <w:rsid w:val="77BA8CFA"/>
    <w:rsid w:val="77BFB653"/>
    <w:rsid w:val="77C5560F"/>
    <w:rsid w:val="77E31CE9"/>
    <w:rsid w:val="77E37F3B"/>
    <w:rsid w:val="77E85551"/>
    <w:rsid w:val="77EA3F87"/>
    <w:rsid w:val="77F834E0"/>
    <w:rsid w:val="782A2DB5"/>
    <w:rsid w:val="782B4FB4"/>
    <w:rsid w:val="7843265A"/>
    <w:rsid w:val="785328F5"/>
    <w:rsid w:val="785F4189"/>
    <w:rsid w:val="78600B26"/>
    <w:rsid w:val="786541B6"/>
    <w:rsid w:val="7866354D"/>
    <w:rsid w:val="78674E18"/>
    <w:rsid w:val="787E4A3E"/>
    <w:rsid w:val="788A0850"/>
    <w:rsid w:val="78A13CF9"/>
    <w:rsid w:val="78A95882"/>
    <w:rsid w:val="78AA3303"/>
    <w:rsid w:val="78B22AE2"/>
    <w:rsid w:val="78B75E9C"/>
    <w:rsid w:val="78B8009B"/>
    <w:rsid w:val="78BB48A3"/>
    <w:rsid w:val="78BC6AA1"/>
    <w:rsid w:val="78C728B3"/>
    <w:rsid w:val="78D20C44"/>
    <w:rsid w:val="78D31F49"/>
    <w:rsid w:val="79020131"/>
    <w:rsid w:val="790740FD"/>
    <w:rsid w:val="793D18CD"/>
    <w:rsid w:val="79572523"/>
    <w:rsid w:val="79585A26"/>
    <w:rsid w:val="796432FD"/>
    <w:rsid w:val="796B33C1"/>
    <w:rsid w:val="796E2148"/>
    <w:rsid w:val="796F1DC8"/>
    <w:rsid w:val="797F7E64"/>
    <w:rsid w:val="79B871A5"/>
    <w:rsid w:val="79BE31CC"/>
    <w:rsid w:val="79C2701E"/>
    <w:rsid w:val="79D10B67"/>
    <w:rsid w:val="79EE5F19"/>
    <w:rsid w:val="79EF399B"/>
    <w:rsid w:val="79F530BD"/>
    <w:rsid w:val="7A0657BE"/>
    <w:rsid w:val="7A1947DF"/>
    <w:rsid w:val="7A1C7734"/>
    <w:rsid w:val="7A2A4A0B"/>
    <w:rsid w:val="7A3E6F9D"/>
    <w:rsid w:val="7A4A4FAE"/>
    <w:rsid w:val="7A543372"/>
    <w:rsid w:val="7A6B2F64"/>
    <w:rsid w:val="7A707A80"/>
    <w:rsid w:val="7A882894"/>
    <w:rsid w:val="7A8C565D"/>
    <w:rsid w:val="7A900D85"/>
    <w:rsid w:val="7AA678C6"/>
    <w:rsid w:val="7ABE4881"/>
    <w:rsid w:val="7AC00470"/>
    <w:rsid w:val="7AC5017B"/>
    <w:rsid w:val="7AC96B81"/>
    <w:rsid w:val="7AE04A94"/>
    <w:rsid w:val="7AEE1E59"/>
    <w:rsid w:val="7B0047C5"/>
    <w:rsid w:val="7B050F64"/>
    <w:rsid w:val="7B1D3764"/>
    <w:rsid w:val="7B240194"/>
    <w:rsid w:val="7B417AC4"/>
    <w:rsid w:val="7B4A03D4"/>
    <w:rsid w:val="7B4F485C"/>
    <w:rsid w:val="7B551FE8"/>
    <w:rsid w:val="7B5B066E"/>
    <w:rsid w:val="7B6C46EB"/>
    <w:rsid w:val="7B6F730F"/>
    <w:rsid w:val="7B700614"/>
    <w:rsid w:val="7B843A31"/>
    <w:rsid w:val="7B882437"/>
    <w:rsid w:val="7B8A11BD"/>
    <w:rsid w:val="7B8C08E9"/>
    <w:rsid w:val="7B96F462"/>
    <w:rsid w:val="7BBF4A25"/>
    <w:rsid w:val="7BC80CA2"/>
    <w:rsid w:val="7BD78314"/>
    <w:rsid w:val="7BD8D31C"/>
    <w:rsid w:val="7BD9AEFD"/>
    <w:rsid w:val="7BDB4440"/>
    <w:rsid w:val="7BEC03C2"/>
    <w:rsid w:val="7BED10B3"/>
    <w:rsid w:val="7BF02C26"/>
    <w:rsid w:val="7BF10DD0"/>
    <w:rsid w:val="7BF73282"/>
    <w:rsid w:val="7BF75D8C"/>
    <w:rsid w:val="7BF75F6E"/>
    <w:rsid w:val="7BF7B0F3"/>
    <w:rsid w:val="7BFF28E5"/>
    <w:rsid w:val="7BFFD6D7"/>
    <w:rsid w:val="7C18217D"/>
    <w:rsid w:val="7C1A5229"/>
    <w:rsid w:val="7C2300B7"/>
    <w:rsid w:val="7C2E1CCB"/>
    <w:rsid w:val="7C2E6448"/>
    <w:rsid w:val="7C345DD3"/>
    <w:rsid w:val="7C3A2D02"/>
    <w:rsid w:val="7C3E1BE4"/>
    <w:rsid w:val="7C5FC9A9"/>
    <w:rsid w:val="7C623C46"/>
    <w:rsid w:val="7C6C17B0"/>
    <w:rsid w:val="7C7B6547"/>
    <w:rsid w:val="7C8548D8"/>
    <w:rsid w:val="7C8A0D60"/>
    <w:rsid w:val="7C8B6DF3"/>
    <w:rsid w:val="7C8D1CE5"/>
    <w:rsid w:val="7C9619C8"/>
    <w:rsid w:val="7C970076"/>
    <w:rsid w:val="7C9742FE"/>
    <w:rsid w:val="7CA83B93"/>
    <w:rsid w:val="7CB75EE6"/>
    <w:rsid w:val="7CCC504D"/>
    <w:rsid w:val="7CDA1DE4"/>
    <w:rsid w:val="7CDB7866"/>
    <w:rsid w:val="7CE04A49"/>
    <w:rsid w:val="7CFF0E6B"/>
    <w:rsid w:val="7D025527"/>
    <w:rsid w:val="7D0506AA"/>
    <w:rsid w:val="7D0564AB"/>
    <w:rsid w:val="7D0A5F6A"/>
    <w:rsid w:val="7D1641C7"/>
    <w:rsid w:val="7D2F777E"/>
    <w:rsid w:val="7D330449"/>
    <w:rsid w:val="7D346D9B"/>
    <w:rsid w:val="7D5FB5AE"/>
    <w:rsid w:val="7D733B0F"/>
    <w:rsid w:val="7D7D0B50"/>
    <w:rsid w:val="7D845D1C"/>
    <w:rsid w:val="7D896705"/>
    <w:rsid w:val="7D906B23"/>
    <w:rsid w:val="7D933791"/>
    <w:rsid w:val="7D941212"/>
    <w:rsid w:val="7DA911B8"/>
    <w:rsid w:val="7DBB2757"/>
    <w:rsid w:val="7DBF1C32"/>
    <w:rsid w:val="7DC119CE"/>
    <w:rsid w:val="7DCD5EF4"/>
    <w:rsid w:val="7DCF5B74"/>
    <w:rsid w:val="7DD035F6"/>
    <w:rsid w:val="7DD980C0"/>
    <w:rsid w:val="7DDA4906"/>
    <w:rsid w:val="7DDE038D"/>
    <w:rsid w:val="7DE84295"/>
    <w:rsid w:val="7DF9DC05"/>
    <w:rsid w:val="7DFD43C3"/>
    <w:rsid w:val="7DFEF2A4"/>
    <w:rsid w:val="7DFFD91F"/>
    <w:rsid w:val="7E05604E"/>
    <w:rsid w:val="7E10493E"/>
    <w:rsid w:val="7E1C5C73"/>
    <w:rsid w:val="7E33111C"/>
    <w:rsid w:val="7E3D5ECB"/>
    <w:rsid w:val="7E3F1B1E"/>
    <w:rsid w:val="7E5B30AD"/>
    <w:rsid w:val="7E5B6A5D"/>
    <w:rsid w:val="7E664DEE"/>
    <w:rsid w:val="7E98303F"/>
    <w:rsid w:val="7EA52354"/>
    <w:rsid w:val="7EA7EC46"/>
    <w:rsid w:val="7EAB205F"/>
    <w:rsid w:val="7EAC5562"/>
    <w:rsid w:val="7EACC2E3"/>
    <w:rsid w:val="7EB625EF"/>
    <w:rsid w:val="7EBBF740"/>
    <w:rsid w:val="7ECF0F9A"/>
    <w:rsid w:val="7ED216FD"/>
    <w:rsid w:val="7EDAB85F"/>
    <w:rsid w:val="7EE319D5"/>
    <w:rsid w:val="7EF014CF"/>
    <w:rsid w:val="7EFAFBEB"/>
    <w:rsid w:val="7EFB40BF"/>
    <w:rsid w:val="7EFBF8DD"/>
    <w:rsid w:val="7EFD4512"/>
    <w:rsid w:val="7EFF7C39"/>
    <w:rsid w:val="7F222FA3"/>
    <w:rsid w:val="7F22771F"/>
    <w:rsid w:val="7F2A25AD"/>
    <w:rsid w:val="7F2D3532"/>
    <w:rsid w:val="7F392B36"/>
    <w:rsid w:val="7F546B4E"/>
    <w:rsid w:val="7F5F5006"/>
    <w:rsid w:val="7F64728F"/>
    <w:rsid w:val="7F6D3071"/>
    <w:rsid w:val="7F6FE6BD"/>
    <w:rsid w:val="7F7052A0"/>
    <w:rsid w:val="7F74752A"/>
    <w:rsid w:val="7F7704AE"/>
    <w:rsid w:val="7F7F05BA"/>
    <w:rsid w:val="7F8364BF"/>
    <w:rsid w:val="7F9C4E6B"/>
    <w:rsid w:val="7F9F2C74"/>
    <w:rsid w:val="7FB97CFE"/>
    <w:rsid w:val="7FBF988D"/>
    <w:rsid w:val="7FC13DA6"/>
    <w:rsid w:val="7FCF86DD"/>
    <w:rsid w:val="7FDC2280"/>
    <w:rsid w:val="7FDD0FE1"/>
    <w:rsid w:val="7FDF2776"/>
    <w:rsid w:val="7FDF548C"/>
    <w:rsid w:val="7FDFB6E0"/>
    <w:rsid w:val="7FE163A3"/>
    <w:rsid w:val="7FE43061"/>
    <w:rsid w:val="7FE7D030"/>
    <w:rsid w:val="7FE8286F"/>
    <w:rsid w:val="7FE9CD05"/>
    <w:rsid w:val="7FEB4BEA"/>
    <w:rsid w:val="7FED7C94"/>
    <w:rsid w:val="7FEE76B3"/>
    <w:rsid w:val="7FEF35F0"/>
    <w:rsid w:val="7FEFCBD4"/>
    <w:rsid w:val="7FF058EB"/>
    <w:rsid w:val="7FF16AF3"/>
    <w:rsid w:val="7FF31491"/>
    <w:rsid w:val="7FF776BF"/>
    <w:rsid w:val="7FF8775B"/>
    <w:rsid w:val="7FFA7403"/>
    <w:rsid w:val="7FFAFB45"/>
    <w:rsid w:val="7FFDB29F"/>
    <w:rsid w:val="7FFF01CE"/>
    <w:rsid w:val="7FFF7041"/>
    <w:rsid w:val="7FFF8003"/>
    <w:rsid w:val="7FFF83DE"/>
    <w:rsid w:val="8E55D86B"/>
    <w:rsid w:val="95FFD175"/>
    <w:rsid w:val="996FD610"/>
    <w:rsid w:val="9DF370E1"/>
    <w:rsid w:val="9FF74CD2"/>
    <w:rsid w:val="9FFD1961"/>
    <w:rsid w:val="9FFF4AA6"/>
    <w:rsid w:val="A5EB6E2D"/>
    <w:rsid w:val="A5EC08DC"/>
    <w:rsid w:val="A7F1EC2C"/>
    <w:rsid w:val="A7FAC12F"/>
    <w:rsid w:val="AB87A17B"/>
    <w:rsid w:val="ADFB6D1A"/>
    <w:rsid w:val="AE3E0E0B"/>
    <w:rsid w:val="AE977D3D"/>
    <w:rsid w:val="AF3F4D1F"/>
    <w:rsid w:val="AFFF8972"/>
    <w:rsid w:val="B47A868F"/>
    <w:rsid w:val="B7BCDDB0"/>
    <w:rsid w:val="B93E62DA"/>
    <w:rsid w:val="B9BF214F"/>
    <w:rsid w:val="BBC761CC"/>
    <w:rsid w:val="BBDC375F"/>
    <w:rsid w:val="BBDFE1F9"/>
    <w:rsid w:val="BC8FC183"/>
    <w:rsid w:val="BC9F46BF"/>
    <w:rsid w:val="BCFFFC25"/>
    <w:rsid w:val="BD772175"/>
    <w:rsid w:val="BDEC8E0E"/>
    <w:rsid w:val="BEADB40C"/>
    <w:rsid w:val="BEDA2DC7"/>
    <w:rsid w:val="BF1E871C"/>
    <w:rsid w:val="BF71CEBB"/>
    <w:rsid w:val="BF789E4F"/>
    <w:rsid w:val="BF9FD98D"/>
    <w:rsid w:val="BFBB63AE"/>
    <w:rsid w:val="BFEEC022"/>
    <w:rsid w:val="BFFBBE62"/>
    <w:rsid w:val="BFFE0E44"/>
    <w:rsid w:val="BFFFC17A"/>
    <w:rsid w:val="C6362BB9"/>
    <w:rsid w:val="C71FB7D0"/>
    <w:rsid w:val="CAFF3F71"/>
    <w:rsid w:val="CB7A38F0"/>
    <w:rsid w:val="CB96113A"/>
    <w:rsid w:val="CBF7AF2C"/>
    <w:rsid w:val="CD6E99FA"/>
    <w:rsid w:val="CF5D2BFC"/>
    <w:rsid w:val="CF7AD27A"/>
    <w:rsid w:val="CFB7DD41"/>
    <w:rsid w:val="CFD34C12"/>
    <w:rsid w:val="CFF807BB"/>
    <w:rsid w:val="D3DF9175"/>
    <w:rsid w:val="D3F55B97"/>
    <w:rsid w:val="D3FBA7EE"/>
    <w:rsid w:val="D4FFAB8A"/>
    <w:rsid w:val="D6F308B3"/>
    <w:rsid w:val="D77F7157"/>
    <w:rsid w:val="D7E7CAF7"/>
    <w:rsid w:val="D7F9A3E4"/>
    <w:rsid w:val="D7FB8578"/>
    <w:rsid w:val="D7FFC17B"/>
    <w:rsid w:val="DA7B7BFB"/>
    <w:rsid w:val="DBBC2E22"/>
    <w:rsid w:val="DBF50ADD"/>
    <w:rsid w:val="DBF9AB0A"/>
    <w:rsid w:val="DDB93100"/>
    <w:rsid w:val="DDDAD76A"/>
    <w:rsid w:val="DEEF3091"/>
    <w:rsid w:val="DEFFC468"/>
    <w:rsid w:val="DF77DDC7"/>
    <w:rsid w:val="DF7F33CD"/>
    <w:rsid w:val="DF9F1F1C"/>
    <w:rsid w:val="DFDBB429"/>
    <w:rsid w:val="DFE59E77"/>
    <w:rsid w:val="DFEFB16F"/>
    <w:rsid w:val="DFF705D1"/>
    <w:rsid w:val="DFFDC9D9"/>
    <w:rsid w:val="E5AB8D5B"/>
    <w:rsid w:val="E77FEA4A"/>
    <w:rsid w:val="EADFE619"/>
    <w:rsid w:val="EAFF6CDE"/>
    <w:rsid w:val="EB7D40C8"/>
    <w:rsid w:val="EB7FE67D"/>
    <w:rsid w:val="EBD2141B"/>
    <w:rsid w:val="EBDF8D2F"/>
    <w:rsid w:val="EBFF822C"/>
    <w:rsid w:val="EC63A287"/>
    <w:rsid w:val="ED25272A"/>
    <w:rsid w:val="ED9F743C"/>
    <w:rsid w:val="EDDF2BD9"/>
    <w:rsid w:val="EDF8732A"/>
    <w:rsid w:val="EDFBD819"/>
    <w:rsid w:val="EEE7C1D2"/>
    <w:rsid w:val="EEFFD38F"/>
    <w:rsid w:val="EF3367EB"/>
    <w:rsid w:val="EF6938AB"/>
    <w:rsid w:val="EF772328"/>
    <w:rsid w:val="EFBDF524"/>
    <w:rsid w:val="EFC6EAAA"/>
    <w:rsid w:val="EFDB5803"/>
    <w:rsid w:val="EFEFF887"/>
    <w:rsid w:val="EFFDAC19"/>
    <w:rsid w:val="F3BB8B47"/>
    <w:rsid w:val="F3E14A04"/>
    <w:rsid w:val="F3EF9BF5"/>
    <w:rsid w:val="F56F16A0"/>
    <w:rsid w:val="F5FB3D2C"/>
    <w:rsid w:val="F5FDF19F"/>
    <w:rsid w:val="F62FDACE"/>
    <w:rsid w:val="F6B7432E"/>
    <w:rsid w:val="F6FB9EC2"/>
    <w:rsid w:val="F6FDAB9D"/>
    <w:rsid w:val="F75F8826"/>
    <w:rsid w:val="F7720BFC"/>
    <w:rsid w:val="F79F8EC0"/>
    <w:rsid w:val="F7E52B84"/>
    <w:rsid w:val="F7E66E76"/>
    <w:rsid w:val="F7F82BC7"/>
    <w:rsid w:val="F7FDC46F"/>
    <w:rsid w:val="F7FF8145"/>
    <w:rsid w:val="F7FFDEA5"/>
    <w:rsid w:val="F9DE2698"/>
    <w:rsid w:val="F9F5C7C5"/>
    <w:rsid w:val="F9FB7BD3"/>
    <w:rsid w:val="FA65D822"/>
    <w:rsid w:val="FADD0AE3"/>
    <w:rsid w:val="FB2489D4"/>
    <w:rsid w:val="FB622BE3"/>
    <w:rsid w:val="FB999376"/>
    <w:rsid w:val="FBBF3D18"/>
    <w:rsid w:val="FBCFEC7E"/>
    <w:rsid w:val="FBE738C3"/>
    <w:rsid w:val="FBFB78F0"/>
    <w:rsid w:val="FCAE96CA"/>
    <w:rsid w:val="FDB7839F"/>
    <w:rsid w:val="FDEF79AD"/>
    <w:rsid w:val="FDFB3585"/>
    <w:rsid w:val="FDFD5C39"/>
    <w:rsid w:val="FDFDDFE6"/>
    <w:rsid w:val="FDFE8949"/>
    <w:rsid w:val="FDFF2A66"/>
    <w:rsid w:val="FDFFCD57"/>
    <w:rsid w:val="FE6D6266"/>
    <w:rsid w:val="FE7B0EF4"/>
    <w:rsid w:val="FEBEBF2D"/>
    <w:rsid w:val="FECE947C"/>
    <w:rsid w:val="FEDF75DB"/>
    <w:rsid w:val="FEFF8404"/>
    <w:rsid w:val="FEFFF5DF"/>
    <w:rsid w:val="FF3F438A"/>
    <w:rsid w:val="FF52F654"/>
    <w:rsid w:val="FF772082"/>
    <w:rsid w:val="FFC3631C"/>
    <w:rsid w:val="FFDADF8E"/>
    <w:rsid w:val="FFDE2345"/>
    <w:rsid w:val="FFDF267E"/>
    <w:rsid w:val="FFE1E5EB"/>
    <w:rsid w:val="FFE5E516"/>
    <w:rsid w:val="FFE66C3E"/>
    <w:rsid w:val="FFEC7ACF"/>
    <w:rsid w:val="FFF70251"/>
    <w:rsid w:val="FFF9DC64"/>
    <w:rsid w:val="FFFB300E"/>
    <w:rsid w:val="FFFBAEAB"/>
    <w:rsid w:val="FFFCD160"/>
    <w:rsid w:val="FFFD44BD"/>
    <w:rsid w:val="FFFDC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360" w:lineRule="auto"/>
      <w:ind w:firstLine="200" w:firstLineChars="200"/>
      <w:outlineLvl w:val="0"/>
    </w:pPr>
    <w:rPr>
      <w:rFonts w:eastAsia="黑体"/>
      <w:bCs/>
      <w:kern w:val="44"/>
      <w:sz w:val="28"/>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next w:val="1"/>
    <w:qFormat/>
    <w:uiPriority w:val="0"/>
    <w:pPr>
      <w:widowControl w:val="0"/>
      <w:spacing w:line="560" w:lineRule="exact"/>
      <w:ind w:firstLine="420" w:firstLineChars="200"/>
      <w:jc w:val="both"/>
    </w:pPr>
    <w:rPr>
      <w:rFonts w:ascii="Times New Roman" w:hAnsi="Times New Roman" w:eastAsia="仿宋_GB2312" w:cs="Times New Roman"/>
      <w:kern w:val="2"/>
      <w:sz w:val="32"/>
      <w:szCs w:val="22"/>
      <w:lang w:val="en-US" w:eastAsia="zh-CN" w:bidi="ar-SA"/>
    </w:rPr>
  </w:style>
  <w:style w:type="paragraph" w:styleId="7">
    <w:name w:val="annotation text"/>
    <w:basedOn w:val="1"/>
    <w:unhideWhenUsed/>
    <w:qFormat/>
    <w:uiPriority w:val="99"/>
    <w:pPr>
      <w:jc w:val="left"/>
    </w:pPr>
  </w:style>
  <w:style w:type="paragraph" w:styleId="8">
    <w:name w:val="Body Text Indent"/>
    <w:basedOn w:val="1"/>
    <w:next w:val="6"/>
    <w:qFormat/>
    <w:uiPriority w:val="0"/>
    <w:pPr>
      <w:spacing w:after="120"/>
      <w:ind w:left="420" w:leftChars="200"/>
    </w:pPr>
    <w:rPr>
      <w:rFonts w:ascii="Times New Roman" w:hAnsi="Times New Roman" w:eastAsia="宋体" w:cs="Times New Roman"/>
    </w:rPr>
  </w:style>
  <w:style w:type="paragraph" w:styleId="9">
    <w:name w:val="Body Text Indent 2"/>
    <w:basedOn w:val="1"/>
    <w:qFormat/>
    <w:uiPriority w:val="0"/>
    <w:pPr>
      <w:spacing w:after="120" w:line="480" w:lineRule="auto"/>
      <w:ind w:left="420" w:leftChars="2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8"/>
    <w:qFormat/>
    <w:uiPriority w:val="0"/>
    <w:pPr>
      <w:ind w:firstLine="420" w:firstLineChars="200"/>
    </w:pPr>
    <w:rPr>
      <w:rFonts w:ascii="Times New Roman" w:hAnsi="Times New Roman" w:eastAsia="宋体" w:cs="Times New Roman"/>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13909</Words>
  <Characters>14381</Characters>
  <Lines>0</Lines>
  <Paragraphs>0</Paragraphs>
  <TotalTime>18</TotalTime>
  <ScaleCrop>false</ScaleCrop>
  <LinksUpToDate>false</LinksUpToDate>
  <CharactersWithSpaces>14397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2025-09-06T04:24:00Z</dcterms:created>
  <dc:creator>Administrator</dc:creator>
  <cp:lastModifiedBy>user</cp:lastModifiedBy>
  <cp:lastPrinted>2025-11-14T04:26:00Z</cp:lastPrinted>
  <dcterms:modified xsi:type="dcterms:W3CDTF">2026-06-01T19:00:25Z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08A424F7C0DC41B19CCA6125AA9D9808</vt:lpwstr>
  </property>
  <property fmtid="{D5CDD505-2E9C-101B-9397-08002B2CF9AE}" pid="4" name="KSOTemplateDocerSaveRecord">
    <vt:lpwstr>eyJoZGlkIjoiMDA3Y2ExNjRiMzU0NjA4MjM1NzgyMGNiYTIyMmRjMmYiLCJ1c2VySWQiOiIyNTgwMTYwMjkifQ==</vt:lpwstr>
  </property>
</Properties>
</file>