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8E2612">
      <w:pPr>
        <w:keepNext w:val="0"/>
        <w:keepLines w:val="0"/>
        <w:pageBreakBefore w:val="0"/>
        <w:widowControl w:val="0"/>
        <w:kinsoku/>
        <w:wordWrap/>
        <w:overflowPunct/>
        <w:topLinePunct w:val="0"/>
        <w:autoSpaceDE/>
        <w:autoSpaceDN/>
        <w:bidi w:val="0"/>
        <w:adjustRightInd/>
        <w:snapToGrid/>
        <w:spacing w:line="575" w:lineRule="exact"/>
        <w:jc w:val="center"/>
        <w:textAlignment w:val="auto"/>
        <w:rPr>
          <w:rFonts w:hint="eastAsia" w:ascii="方正小标宋简体" w:hAnsi="方正小标宋简体" w:eastAsia="方正小标宋简体" w:cs="方正小标宋简体"/>
          <w:color w:val="auto"/>
          <w:sz w:val="44"/>
          <w:szCs w:val="44"/>
          <w:highlight w:val="none"/>
        </w:rPr>
      </w:pPr>
      <w:r>
        <w:rPr>
          <w:rFonts w:hint="eastAsia" w:ascii="方正小标宋简体" w:hAnsi="方正小标宋简体" w:eastAsia="方正小标宋简体" w:cs="方正小标宋简体"/>
          <w:color w:val="auto"/>
          <w:sz w:val="44"/>
          <w:szCs w:val="44"/>
          <w:highlight w:val="none"/>
        </w:rPr>
        <w:t>克拉玛依区保障性住房配套建设</w:t>
      </w:r>
    </w:p>
    <w:p w14:paraId="479771BC">
      <w:pPr>
        <w:keepNext w:val="0"/>
        <w:keepLines w:val="0"/>
        <w:pageBreakBefore w:val="0"/>
        <w:widowControl w:val="0"/>
        <w:kinsoku/>
        <w:wordWrap/>
        <w:overflowPunct/>
        <w:topLinePunct w:val="0"/>
        <w:autoSpaceDE/>
        <w:autoSpaceDN/>
        <w:bidi w:val="0"/>
        <w:adjustRightInd/>
        <w:snapToGrid/>
        <w:spacing w:line="575" w:lineRule="exact"/>
        <w:jc w:val="center"/>
        <w:textAlignment w:val="auto"/>
        <w:rPr>
          <w:rFonts w:hint="eastAsia" w:ascii="方正小标宋简体" w:hAnsi="方正小标宋简体" w:eastAsia="方正小标宋简体" w:cs="方正小标宋简体"/>
          <w:color w:val="auto"/>
          <w:sz w:val="44"/>
          <w:szCs w:val="44"/>
          <w:highlight w:val="none"/>
          <w:lang w:val="en-US" w:eastAsia="zh-CN"/>
        </w:rPr>
      </w:pPr>
      <w:r>
        <w:rPr>
          <w:rFonts w:hint="eastAsia" w:ascii="方正小标宋简体" w:hAnsi="方正小标宋简体" w:eastAsia="方正小标宋简体" w:cs="方正小标宋简体"/>
          <w:color w:val="auto"/>
          <w:sz w:val="44"/>
          <w:szCs w:val="44"/>
          <w:highlight w:val="none"/>
          <w:lang w:val="en-US" w:eastAsia="zh-CN"/>
        </w:rPr>
        <w:t>实施方案（试行）</w:t>
      </w:r>
    </w:p>
    <w:p w14:paraId="5C762E21">
      <w:pPr>
        <w:keepNext w:val="0"/>
        <w:keepLines w:val="0"/>
        <w:pageBreakBefore w:val="0"/>
        <w:widowControl w:val="0"/>
        <w:kinsoku/>
        <w:wordWrap/>
        <w:overflowPunct/>
        <w:topLinePunct w:val="0"/>
        <w:autoSpaceDE/>
        <w:autoSpaceDN/>
        <w:bidi w:val="0"/>
        <w:adjustRightInd/>
        <w:snapToGrid/>
        <w:spacing w:line="575" w:lineRule="exact"/>
        <w:jc w:val="center"/>
        <w:textAlignment w:val="auto"/>
        <w:rPr>
          <w:rFonts w:hint="default" w:ascii="方正小标宋简体" w:hAnsi="方正小标宋简体" w:eastAsia="方正小标宋简体" w:cs="方正小标宋简体"/>
          <w:color w:val="auto"/>
          <w:sz w:val="44"/>
          <w:szCs w:val="44"/>
          <w:highlight w:val="none"/>
          <w:lang w:val="en-US" w:eastAsia="zh-CN"/>
        </w:rPr>
      </w:pPr>
    </w:p>
    <w:p w14:paraId="4170606F">
      <w:pPr>
        <w:keepNext w:val="0"/>
        <w:keepLines w:val="0"/>
        <w:pageBreakBefore w:val="0"/>
        <w:widowControl w:val="0"/>
        <w:kinsoku/>
        <w:wordWrap/>
        <w:overflowPunct/>
        <w:topLinePunct w:val="0"/>
        <w:autoSpaceDE/>
        <w:autoSpaceDN/>
        <w:bidi w:val="0"/>
        <w:adjustRightInd/>
        <w:snapToGrid/>
        <w:spacing w:line="575"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为进一步规范在本</w:t>
      </w:r>
      <w:r>
        <w:rPr>
          <w:rFonts w:hint="eastAsia" w:ascii="仿宋_GB2312" w:hAnsi="仿宋_GB2312" w:eastAsia="仿宋_GB2312" w:cs="仿宋_GB2312"/>
          <w:color w:val="auto"/>
          <w:sz w:val="32"/>
          <w:szCs w:val="32"/>
          <w:highlight w:val="none"/>
          <w:lang w:val="en-US" w:eastAsia="zh-CN"/>
        </w:rPr>
        <w:t>区</w:t>
      </w:r>
      <w:r>
        <w:rPr>
          <w:rFonts w:hint="eastAsia" w:ascii="仿宋_GB2312" w:hAnsi="仿宋_GB2312" w:eastAsia="仿宋_GB2312" w:cs="仿宋_GB2312"/>
          <w:color w:val="auto"/>
          <w:sz w:val="32"/>
          <w:szCs w:val="32"/>
          <w:highlight w:val="none"/>
        </w:rPr>
        <w:t>商品住房建设项目中配建</w:t>
      </w:r>
      <w:r>
        <w:rPr>
          <w:rFonts w:hint="eastAsia" w:ascii="仿宋_GB2312" w:hAnsi="仿宋_GB2312" w:eastAsia="仿宋_GB2312" w:cs="仿宋_GB2312"/>
          <w:color w:val="auto"/>
          <w:sz w:val="32"/>
          <w:szCs w:val="32"/>
          <w:highlight w:val="none"/>
          <w:lang w:val="en-US" w:eastAsia="zh-CN"/>
        </w:rPr>
        <w:t>保障性住房</w:t>
      </w:r>
      <w:r>
        <w:rPr>
          <w:rFonts w:hint="eastAsia" w:ascii="仿宋_GB2312" w:hAnsi="仿宋_GB2312" w:eastAsia="仿宋_GB2312" w:cs="仿宋_GB2312"/>
          <w:color w:val="auto"/>
          <w:sz w:val="32"/>
          <w:szCs w:val="32"/>
          <w:highlight w:val="none"/>
        </w:rPr>
        <w:t>的行为，多渠道筹措</w:t>
      </w:r>
      <w:r>
        <w:rPr>
          <w:rFonts w:hint="eastAsia" w:ascii="仿宋_GB2312" w:hAnsi="仿宋_GB2312" w:eastAsia="仿宋_GB2312" w:cs="仿宋_GB2312"/>
          <w:color w:val="auto"/>
          <w:sz w:val="32"/>
          <w:szCs w:val="32"/>
          <w:highlight w:val="none"/>
          <w:lang w:val="en-US" w:eastAsia="zh-CN"/>
        </w:rPr>
        <w:t>保障性住房</w:t>
      </w:r>
      <w:r>
        <w:rPr>
          <w:rFonts w:hint="eastAsia" w:ascii="仿宋_GB2312" w:hAnsi="仿宋_GB2312" w:eastAsia="仿宋_GB2312" w:cs="仿宋_GB2312"/>
          <w:color w:val="auto"/>
          <w:sz w:val="32"/>
          <w:szCs w:val="32"/>
          <w:highlight w:val="none"/>
        </w:rPr>
        <w:t>房源，根据《关于保障性安居工程建设和管理的指导意见》（国办发〔2011〕45号）</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关于做好保障性住房建设筹集有关工作的通知</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建保</w:t>
      </w:r>
      <w:r>
        <w:rPr>
          <w:rFonts w:hint="eastAsia" w:ascii="仿宋_GB2312" w:hAnsi="仿宋_GB2312" w:eastAsia="仿宋_GB2312" w:cs="仿宋_GB2312"/>
          <w:color w:val="auto"/>
          <w:sz w:val="32"/>
          <w:szCs w:val="32"/>
          <w:highlight w:val="none"/>
        </w:rPr>
        <w:t>〔20</w:t>
      </w:r>
      <w:r>
        <w:rPr>
          <w:rFonts w:hint="eastAsia" w:ascii="仿宋_GB2312" w:hAnsi="仿宋_GB2312" w:eastAsia="仿宋_GB2312" w:cs="仿宋_GB2312"/>
          <w:color w:val="auto"/>
          <w:sz w:val="32"/>
          <w:szCs w:val="32"/>
          <w:highlight w:val="none"/>
          <w:lang w:val="en-US" w:eastAsia="zh-CN"/>
        </w:rPr>
        <w:t>25</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16</w:t>
      </w:r>
      <w:r>
        <w:rPr>
          <w:rFonts w:hint="eastAsia" w:ascii="仿宋_GB2312" w:hAnsi="仿宋_GB2312" w:eastAsia="仿宋_GB2312" w:cs="仿宋_GB2312"/>
          <w:color w:val="auto"/>
          <w:sz w:val="32"/>
          <w:szCs w:val="32"/>
          <w:highlight w:val="none"/>
        </w:rPr>
        <w:t>号）</w:t>
      </w:r>
      <w:r>
        <w:rPr>
          <w:rFonts w:hint="eastAsia" w:ascii="仿宋_GB2312" w:hAnsi="仿宋_GB2312" w:eastAsia="仿宋_GB2312" w:cs="仿宋_GB2312"/>
          <w:color w:val="auto"/>
          <w:sz w:val="32"/>
          <w:szCs w:val="32"/>
          <w:highlight w:val="none"/>
          <w:lang w:val="en-US" w:eastAsia="zh-CN"/>
        </w:rPr>
        <w:t>及《克拉玛依市“好房子”规划建设管理的若干规定》</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克自然资规</w:t>
      </w:r>
      <w:r>
        <w:rPr>
          <w:rFonts w:hint="eastAsia" w:ascii="仿宋_GB2312" w:hAnsi="仿宋_GB2312" w:eastAsia="仿宋_GB2312" w:cs="仿宋_GB2312"/>
          <w:color w:val="auto"/>
          <w:sz w:val="32"/>
          <w:szCs w:val="32"/>
          <w:highlight w:val="none"/>
        </w:rPr>
        <w:t>〔20</w:t>
      </w:r>
      <w:r>
        <w:rPr>
          <w:rFonts w:hint="eastAsia" w:ascii="仿宋_GB2312" w:hAnsi="仿宋_GB2312" w:eastAsia="仿宋_GB2312" w:cs="仿宋_GB2312"/>
          <w:color w:val="auto"/>
          <w:sz w:val="32"/>
          <w:szCs w:val="32"/>
          <w:highlight w:val="none"/>
          <w:lang w:val="en-US" w:eastAsia="zh-CN"/>
        </w:rPr>
        <w:t>26</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rPr>
        <w:t>号）文件精神，结合我区实际，提出本实施方案。</w:t>
      </w:r>
    </w:p>
    <w:p w14:paraId="2F21B393">
      <w:pPr>
        <w:keepNext w:val="0"/>
        <w:keepLines w:val="0"/>
        <w:pageBreakBefore w:val="0"/>
        <w:widowControl w:val="0"/>
        <w:kinsoku/>
        <w:wordWrap/>
        <w:overflowPunct/>
        <w:topLinePunct w:val="0"/>
        <w:autoSpaceDE/>
        <w:autoSpaceDN/>
        <w:bidi w:val="0"/>
        <w:adjustRightInd/>
        <w:snapToGrid/>
        <w:spacing w:line="575"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p>
    <w:p w14:paraId="0CC9D387">
      <w:pPr>
        <w:keepNext w:val="0"/>
        <w:keepLines w:val="0"/>
        <w:pageBreakBefore w:val="0"/>
        <w:widowControl w:val="0"/>
        <w:kinsoku/>
        <w:wordWrap/>
        <w:overflowPunct/>
        <w:topLinePunct w:val="0"/>
        <w:autoSpaceDE/>
        <w:autoSpaceDN/>
        <w:bidi w:val="0"/>
        <w:adjustRightInd/>
        <w:snapToGrid/>
        <w:spacing w:line="575" w:lineRule="exact"/>
        <w:jc w:val="center"/>
        <w:textAlignment w:val="auto"/>
        <w:rPr>
          <w:rFonts w:hint="eastAsia" w:ascii="黑体" w:hAnsi="黑体" w:eastAsia="黑体" w:cs="黑体"/>
          <w:color w:val="auto"/>
          <w:sz w:val="32"/>
          <w:szCs w:val="32"/>
          <w:highlight w:val="none"/>
          <w:lang w:eastAsia="zh-CN"/>
        </w:rPr>
      </w:pPr>
      <w:r>
        <w:rPr>
          <w:rFonts w:hint="eastAsia" w:ascii="黑体" w:hAnsi="黑体" w:eastAsia="黑体" w:cs="黑体"/>
          <w:color w:val="auto"/>
          <w:sz w:val="32"/>
          <w:szCs w:val="32"/>
          <w:highlight w:val="none"/>
          <w:lang w:val="en-US" w:eastAsia="zh-CN"/>
        </w:rPr>
        <w:t>第一章 总则</w:t>
      </w:r>
    </w:p>
    <w:p w14:paraId="7A11805E">
      <w:pPr>
        <w:keepNext w:val="0"/>
        <w:keepLines w:val="0"/>
        <w:pageBreakBefore w:val="0"/>
        <w:widowControl w:val="0"/>
        <w:kinsoku/>
        <w:wordWrap/>
        <w:overflowPunct/>
        <w:topLinePunct w:val="0"/>
        <w:autoSpaceDE/>
        <w:autoSpaceDN/>
        <w:bidi w:val="0"/>
        <w:adjustRightInd/>
        <w:snapToGrid/>
        <w:spacing w:line="575" w:lineRule="exact"/>
        <w:ind w:firstLine="643"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第一条</w:t>
      </w:r>
      <w:r>
        <w:rPr>
          <w:rFonts w:hint="eastAsia" w:ascii="仿宋_GB2312" w:hAnsi="仿宋_GB2312" w:eastAsia="仿宋_GB2312"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rPr>
        <w:t>本</w:t>
      </w:r>
      <w:r>
        <w:rPr>
          <w:rFonts w:hint="eastAsia" w:ascii="仿宋_GB2312" w:hAnsi="仿宋_GB2312" w:eastAsia="仿宋_GB2312" w:cs="仿宋_GB2312"/>
          <w:color w:val="auto"/>
          <w:sz w:val="32"/>
          <w:szCs w:val="32"/>
          <w:highlight w:val="none"/>
          <w:lang w:val="en-US" w:eastAsia="zh-CN"/>
        </w:rPr>
        <w:t>方案</w:t>
      </w:r>
      <w:r>
        <w:rPr>
          <w:rFonts w:hint="eastAsia" w:ascii="仿宋_GB2312" w:hAnsi="仿宋_GB2312" w:eastAsia="仿宋_GB2312" w:cs="仿宋_GB2312"/>
          <w:color w:val="auto"/>
          <w:sz w:val="32"/>
          <w:szCs w:val="32"/>
          <w:highlight w:val="none"/>
        </w:rPr>
        <w:t>所称的保障性住房是指在克拉玛依区行政辖区内新建商品房项目中，按住宅总建筑面积的一定比例进行配建的保障性住房。</w:t>
      </w:r>
    </w:p>
    <w:p w14:paraId="26E42D76">
      <w:pPr>
        <w:keepNext w:val="0"/>
        <w:keepLines w:val="0"/>
        <w:pageBreakBefore w:val="0"/>
        <w:widowControl/>
        <w:suppressLineNumbers w:val="0"/>
        <w:kinsoku/>
        <w:wordWrap/>
        <w:overflowPunct/>
        <w:topLinePunct w:val="0"/>
        <w:autoSpaceDE/>
        <w:autoSpaceDN/>
        <w:bidi w:val="0"/>
        <w:adjustRightInd/>
        <w:snapToGrid/>
        <w:spacing w:line="575" w:lineRule="exact"/>
        <w:ind w:firstLine="643" w:firstLineChars="200"/>
        <w:jc w:val="left"/>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strike w:val="0"/>
          <w:dstrike w:val="0"/>
          <w:color w:val="auto"/>
          <w:sz w:val="32"/>
          <w:szCs w:val="32"/>
          <w:highlight w:val="none"/>
          <w:lang w:val="en-US" w:eastAsia="zh-CN"/>
        </w:rPr>
        <w:t>第二条</w:t>
      </w:r>
      <w:r>
        <w:rPr>
          <w:rFonts w:hint="eastAsia" w:ascii="仿宋_GB2312" w:hAnsi="仿宋_GB2312" w:eastAsia="仿宋_GB2312" w:cs="仿宋_GB2312"/>
          <w:strike w:val="0"/>
          <w:dstrike w:val="0"/>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rPr>
        <w:t>本</w:t>
      </w:r>
      <w:r>
        <w:rPr>
          <w:rFonts w:hint="eastAsia" w:ascii="仿宋_GB2312" w:hAnsi="仿宋_GB2312" w:eastAsia="仿宋_GB2312" w:cs="仿宋_GB2312"/>
          <w:color w:val="auto"/>
          <w:sz w:val="32"/>
          <w:szCs w:val="32"/>
          <w:highlight w:val="none"/>
          <w:lang w:val="en-US" w:eastAsia="zh-CN"/>
        </w:rPr>
        <w:t>方案</w:t>
      </w:r>
      <w:r>
        <w:rPr>
          <w:rFonts w:hint="eastAsia" w:ascii="仿宋_GB2312" w:hAnsi="仿宋_GB2312" w:eastAsia="仿宋_GB2312" w:cs="仿宋_GB2312"/>
          <w:color w:val="auto"/>
          <w:sz w:val="32"/>
          <w:szCs w:val="32"/>
          <w:highlight w:val="none"/>
        </w:rPr>
        <w:t>适用于</w:t>
      </w:r>
      <w:r>
        <w:rPr>
          <w:rFonts w:hint="eastAsia" w:ascii="仿宋_GB2312" w:hAnsi="仿宋_GB2312" w:eastAsia="仿宋_GB2312" w:cs="仿宋_GB2312"/>
          <w:color w:val="auto"/>
          <w:sz w:val="32"/>
          <w:szCs w:val="32"/>
          <w:highlight w:val="none"/>
          <w:lang w:val="en-US" w:eastAsia="zh-CN"/>
        </w:rPr>
        <w:t>自实施之日起，本行政区域内新出让的地块；本方案施行后新供应的商品房建设用地，适用本方案；本方案施行前已出让的地块，按出让合同约定执行</w:t>
      </w:r>
      <w:r>
        <w:rPr>
          <w:rFonts w:hint="eastAsia" w:ascii="仿宋_GB2312" w:hAnsi="仿宋_GB2312" w:eastAsia="仿宋_GB2312" w:cs="仿宋_GB2312"/>
          <w:color w:val="auto"/>
          <w:sz w:val="32"/>
          <w:szCs w:val="32"/>
          <w:highlight w:val="none"/>
        </w:rPr>
        <w:t>。</w:t>
      </w:r>
    </w:p>
    <w:p w14:paraId="0E242966">
      <w:pPr>
        <w:keepNext w:val="0"/>
        <w:keepLines w:val="0"/>
        <w:pageBreakBefore w:val="0"/>
        <w:widowControl w:val="0"/>
        <w:kinsoku/>
        <w:wordWrap/>
        <w:overflowPunct/>
        <w:topLinePunct w:val="0"/>
        <w:autoSpaceDE/>
        <w:autoSpaceDN/>
        <w:bidi w:val="0"/>
        <w:adjustRightInd/>
        <w:snapToGrid/>
        <w:spacing w:line="575" w:lineRule="exact"/>
        <w:ind w:firstLine="643"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第三条</w:t>
      </w:r>
      <w:r>
        <w:rPr>
          <w:rFonts w:hint="eastAsia" w:ascii="仿宋_GB2312" w:hAnsi="仿宋_GB2312" w:eastAsia="仿宋_GB2312"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rPr>
        <w:t>保障性住房房源包括公共租赁住房、保障性租赁住房及配售型保障性住房</w:t>
      </w:r>
      <w:r>
        <w:rPr>
          <w:rFonts w:hint="eastAsia" w:ascii="仿宋_GB2312" w:hAnsi="仿宋_GB2312" w:eastAsia="仿宋_GB2312" w:cs="仿宋_GB2312"/>
          <w:color w:val="auto"/>
          <w:sz w:val="32"/>
          <w:szCs w:val="32"/>
          <w:highlight w:val="none"/>
          <w:lang w:val="en-US" w:eastAsia="zh-CN"/>
        </w:rPr>
        <w:t>等享受</w:t>
      </w:r>
      <w:r>
        <w:rPr>
          <w:rFonts w:hint="eastAsia" w:ascii="仿宋_GB2312" w:hAnsi="仿宋_GB2312" w:eastAsia="仿宋_GB2312" w:cs="仿宋_GB2312"/>
          <w:color w:val="auto"/>
          <w:sz w:val="32"/>
          <w:szCs w:val="32"/>
          <w:highlight w:val="none"/>
        </w:rPr>
        <w:t>国家有关优惠政策的</w:t>
      </w:r>
      <w:r>
        <w:rPr>
          <w:rFonts w:hint="eastAsia" w:ascii="仿宋_GB2312" w:hAnsi="仿宋_GB2312" w:eastAsia="仿宋_GB2312" w:cs="仿宋_GB2312"/>
          <w:color w:val="auto"/>
          <w:sz w:val="32"/>
          <w:szCs w:val="32"/>
          <w:highlight w:val="none"/>
          <w:lang w:val="en-US" w:eastAsia="zh-CN"/>
        </w:rPr>
        <w:t>住房。</w:t>
      </w:r>
    </w:p>
    <w:p w14:paraId="2F660D8B">
      <w:pPr>
        <w:keepNext w:val="0"/>
        <w:keepLines w:val="0"/>
        <w:pageBreakBefore w:val="0"/>
        <w:widowControl/>
        <w:suppressLineNumbers w:val="0"/>
        <w:kinsoku/>
        <w:wordWrap/>
        <w:overflowPunct/>
        <w:topLinePunct w:val="0"/>
        <w:autoSpaceDE/>
        <w:autoSpaceDN/>
        <w:bidi w:val="0"/>
        <w:adjustRightInd/>
        <w:snapToGrid/>
        <w:spacing w:line="575" w:lineRule="exact"/>
        <w:ind w:firstLine="643" w:firstLineChars="200"/>
        <w:jc w:val="left"/>
        <w:textAlignment w:val="auto"/>
        <w:rPr>
          <w:rFonts w:hint="eastAsia" w:ascii="仿宋_GB2312" w:hAnsi="仿宋_GB2312" w:eastAsia="仿宋_GB2312" w:cs="仿宋_GB2312"/>
          <w:strike w:val="0"/>
          <w:dstrike w:val="0"/>
          <w:color w:val="auto"/>
          <w:sz w:val="32"/>
          <w:szCs w:val="32"/>
          <w:highlight w:val="none"/>
          <w:lang w:val="en-US" w:eastAsia="zh-CN"/>
        </w:rPr>
      </w:pPr>
      <w:r>
        <w:rPr>
          <w:rFonts w:hint="eastAsia" w:ascii="仿宋_GB2312" w:hAnsi="仿宋_GB2312" w:eastAsia="仿宋_GB2312" w:cs="仿宋_GB2312"/>
          <w:b/>
          <w:bCs/>
          <w:strike w:val="0"/>
          <w:dstrike w:val="0"/>
          <w:color w:val="auto"/>
          <w:sz w:val="32"/>
          <w:szCs w:val="32"/>
          <w:highlight w:val="none"/>
          <w:lang w:val="en-US" w:eastAsia="zh-CN"/>
        </w:rPr>
        <w:t>第四条</w:t>
      </w:r>
      <w:r>
        <w:rPr>
          <w:rFonts w:hint="eastAsia" w:ascii="仿宋_GB2312" w:hAnsi="仿宋_GB2312" w:eastAsia="仿宋_GB2312" w:cs="仿宋_GB2312"/>
          <w:strike w:val="0"/>
          <w:dstrike w:val="0"/>
          <w:color w:val="auto"/>
          <w:sz w:val="32"/>
          <w:szCs w:val="32"/>
          <w:highlight w:val="none"/>
          <w:lang w:val="en-US" w:eastAsia="zh-CN"/>
        </w:rPr>
        <w:t xml:space="preserve">  有关行政管理部门应当在各自职责范围内配合做好保障性住房管理工作。</w:t>
      </w:r>
    </w:p>
    <w:p w14:paraId="1A19D58A">
      <w:pPr>
        <w:keepNext w:val="0"/>
        <w:keepLines w:val="0"/>
        <w:pageBreakBefore w:val="0"/>
        <w:widowControl/>
        <w:suppressLineNumbers w:val="0"/>
        <w:kinsoku/>
        <w:wordWrap/>
        <w:overflowPunct/>
        <w:topLinePunct w:val="0"/>
        <w:autoSpaceDE/>
        <w:autoSpaceDN/>
        <w:bidi w:val="0"/>
        <w:adjustRightInd/>
        <w:snapToGrid/>
        <w:spacing w:line="575" w:lineRule="exact"/>
        <w:ind w:firstLine="640" w:firstLineChars="200"/>
        <w:jc w:val="left"/>
        <w:textAlignment w:val="auto"/>
        <w:rPr>
          <w:rFonts w:hint="eastAsia" w:ascii="仿宋_GB2312" w:hAnsi="仿宋_GB2312" w:eastAsia="仿宋_GB2312" w:cs="仿宋_GB2312"/>
          <w:strike w:val="0"/>
          <w:dstrike w:val="0"/>
          <w:color w:val="auto"/>
          <w:sz w:val="32"/>
          <w:szCs w:val="32"/>
          <w:highlight w:val="none"/>
          <w:lang w:val="en-US" w:eastAsia="zh-CN"/>
        </w:rPr>
      </w:pPr>
      <w:r>
        <w:rPr>
          <w:rFonts w:hint="eastAsia" w:ascii="楷体_GB2312" w:hAnsi="楷体_GB2312" w:eastAsia="楷体_GB2312" w:cs="楷体_GB2312"/>
          <w:strike w:val="0"/>
          <w:dstrike w:val="0"/>
          <w:color w:val="auto"/>
          <w:sz w:val="32"/>
          <w:szCs w:val="32"/>
          <w:highlight w:val="none"/>
          <w:lang w:val="en-US" w:eastAsia="zh-CN"/>
        </w:rPr>
        <w:t>（一）区住房保障部门：</w:t>
      </w:r>
      <w:r>
        <w:rPr>
          <w:rFonts w:hint="eastAsia" w:ascii="仿宋_GB2312" w:hAnsi="仿宋_GB2312" w:eastAsia="仿宋_GB2312" w:cs="仿宋_GB2312"/>
          <w:strike w:val="0"/>
          <w:dstrike w:val="0"/>
          <w:color w:val="auto"/>
          <w:sz w:val="32"/>
          <w:szCs w:val="32"/>
          <w:highlight w:val="none"/>
          <w:lang w:val="en-US" w:eastAsia="zh-CN"/>
        </w:rPr>
        <w:t>负责按照市级下发计划落实住房供应任务；负责组织实施本区保障性住房的建设筹集、监督管理等工作；负责保障性租赁住房项目的联合审查、认定等工作；</w:t>
      </w:r>
    </w:p>
    <w:p w14:paraId="4F530A60">
      <w:pPr>
        <w:keepNext w:val="0"/>
        <w:keepLines w:val="0"/>
        <w:pageBreakBefore w:val="0"/>
        <w:widowControl/>
        <w:suppressLineNumbers w:val="0"/>
        <w:kinsoku/>
        <w:wordWrap/>
        <w:overflowPunct/>
        <w:topLinePunct w:val="0"/>
        <w:autoSpaceDE/>
        <w:autoSpaceDN/>
        <w:bidi w:val="0"/>
        <w:adjustRightInd/>
        <w:snapToGrid/>
        <w:spacing w:line="575" w:lineRule="exact"/>
        <w:ind w:firstLine="640" w:firstLineChars="200"/>
        <w:jc w:val="left"/>
        <w:textAlignment w:val="auto"/>
        <w:rPr>
          <w:rFonts w:hint="eastAsia" w:ascii="仿宋_GB2312" w:hAnsi="仿宋_GB2312" w:eastAsia="仿宋_GB2312" w:cs="仿宋_GB2312"/>
          <w:strike w:val="0"/>
          <w:dstrike w:val="0"/>
          <w:color w:val="auto"/>
          <w:sz w:val="32"/>
          <w:szCs w:val="32"/>
          <w:highlight w:val="none"/>
          <w:lang w:val="en-US" w:eastAsia="zh-CN"/>
        </w:rPr>
      </w:pPr>
      <w:r>
        <w:rPr>
          <w:rFonts w:hint="eastAsia" w:ascii="楷体_GB2312" w:hAnsi="楷体_GB2312" w:eastAsia="楷体_GB2312" w:cs="楷体_GB2312"/>
          <w:strike w:val="0"/>
          <w:dstrike w:val="0"/>
          <w:color w:val="auto"/>
          <w:sz w:val="32"/>
          <w:szCs w:val="32"/>
          <w:highlight w:val="none"/>
          <w:lang w:val="en-US" w:eastAsia="zh-CN"/>
        </w:rPr>
        <w:t>（二）区自然资源部门：</w:t>
      </w:r>
      <w:r>
        <w:rPr>
          <w:rFonts w:hint="eastAsia" w:ascii="仿宋_GB2312" w:hAnsi="仿宋_GB2312" w:eastAsia="仿宋_GB2312" w:cs="仿宋_GB2312"/>
          <w:strike w:val="0"/>
          <w:dstrike w:val="0"/>
          <w:color w:val="auto"/>
          <w:sz w:val="32"/>
          <w:szCs w:val="32"/>
          <w:highlight w:val="none"/>
          <w:lang w:val="en-US" w:eastAsia="zh-CN"/>
        </w:rPr>
        <w:t>配合对本行政区域内新建商品住房中配建保障性住房开展规划管理工作；配合对异地购买及提供成套住房移交时开展不动产权变更工作。</w:t>
      </w:r>
    </w:p>
    <w:p w14:paraId="5F0106D2">
      <w:pPr>
        <w:keepNext w:val="0"/>
        <w:keepLines w:val="0"/>
        <w:pageBreakBefore w:val="0"/>
        <w:widowControl/>
        <w:suppressLineNumbers w:val="0"/>
        <w:kinsoku/>
        <w:wordWrap/>
        <w:overflowPunct/>
        <w:topLinePunct w:val="0"/>
        <w:autoSpaceDE/>
        <w:autoSpaceDN/>
        <w:bidi w:val="0"/>
        <w:adjustRightInd/>
        <w:snapToGrid/>
        <w:spacing w:line="575" w:lineRule="exact"/>
        <w:ind w:firstLine="640" w:firstLineChars="200"/>
        <w:jc w:val="left"/>
        <w:textAlignment w:val="auto"/>
        <w:rPr>
          <w:rFonts w:hint="eastAsia" w:ascii="仿宋_GB2312" w:hAnsi="仿宋_GB2312" w:eastAsia="仿宋_GB2312" w:cs="仿宋_GB2312"/>
          <w:strike w:val="0"/>
          <w:dstrike w:val="0"/>
          <w:color w:val="auto"/>
          <w:sz w:val="32"/>
          <w:szCs w:val="32"/>
          <w:highlight w:val="none"/>
          <w:lang w:val="en-US" w:eastAsia="zh-CN"/>
        </w:rPr>
      </w:pPr>
      <w:r>
        <w:rPr>
          <w:rFonts w:hint="eastAsia" w:ascii="楷体_GB2312" w:hAnsi="楷体_GB2312" w:eastAsia="楷体_GB2312" w:cs="楷体_GB2312"/>
          <w:strike w:val="0"/>
          <w:dstrike w:val="0"/>
          <w:color w:val="auto"/>
          <w:sz w:val="32"/>
          <w:szCs w:val="32"/>
          <w:highlight w:val="none"/>
          <w:lang w:val="en-US" w:eastAsia="zh-CN"/>
        </w:rPr>
        <w:t>（三）区发展和改革部门：</w:t>
      </w:r>
      <w:r>
        <w:rPr>
          <w:rFonts w:hint="eastAsia" w:ascii="仿宋_GB2312" w:hAnsi="仿宋_GB2312" w:eastAsia="仿宋_GB2312" w:cs="仿宋_GB2312"/>
          <w:strike w:val="0"/>
          <w:dstrike w:val="0"/>
          <w:color w:val="auto"/>
          <w:sz w:val="32"/>
          <w:szCs w:val="32"/>
          <w:highlight w:val="none"/>
          <w:lang w:val="en-US" w:eastAsia="zh-CN"/>
        </w:rPr>
        <w:t>配合做好新建商品住房项目备案工作；配合做好保障性住房租金标准制定工作；</w:t>
      </w:r>
    </w:p>
    <w:p w14:paraId="05201235">
      <w:pPr>
        <w:keepNext w:val="0"/>
        <w:keepLines w:val="0"/>
        <w:pageBreakBefore w:val="0"/>
        <w:widowControl/>
        <w:suppressLineNumbers w:val="0"/>
        <w:kinsoku/>
        <w:wordWrap/>
        <w:overflowPunct/>
        <w:topLinePunct w:val="0"/>
        <w:autoSpaceDE/>
        <w:autoSpaceDN/>
        <w:bidi w:val="0"/>
        <w:adjustRightInd/>
        <w:snapToGrid/>
        <w:spacing w:line="575" w:lineRule="exact"/>
        <w:ind w:firstLine="640" w:firstLineChars="200"/>
        <w:jc w:val="left"/>
        <w:textAlignment w:val="auto"/>
        <w:rPr>
          <w:rFonts w:hint="eastAsia" w:ascii="仿宋_GB2312" w:hAnsi="仿宋_GB2312" w:eastAsia="仿宋_GB2312" w:cs="仿宋_GB2312"/>
          <w:strike w:val="0"/>
          <w:dstrike w:val="0"/>
          <w:color w:val="auto"/>
          <w:sz w:val="32"/>
          <w:szCs w:val="32"/>
          <w:highlight w:val="none"/>
          <w:lang w:val="en-US" w:eastAsia="zh-CN"/>
        </w:rPr>
      </w:pPr>
      <w:r>
        <w:rPr>
          <w:rFonts w:hint="eastAsia" w:ascii="楷体_GB2312" w:hAnsi="楷体_GB2312" w:eastAsia="楷体_GB2312" w:cs="楷体_GB2312"/>
          <w:strike w:val="0"/>
          <w:dstrike w:val="0"/>
          <w:color w:val="auto"/>
          <w:sz w:val="32"/>
          <w:szCs w:val="32"/>
          <w:highlight w:val="none"/>
          <w:lang w:val="en-US" w:eastAsia="zh-CN"/>
        </w:rPr>
        <w:t>（四）区财政部门：</w:t>
      </w:r>
      <w:r>
        <w:rPr>
          <w:rFonts w:hint="eastAsia" w:ascii="仿宋_GB2312" w:hAnsi="仿宋_GB2312" w:eastAsia="仿宋_GB2312" w:cs="仿宋_GB2312"/>
          <w:strike w:val="0"/>
          <w:dstrike w:val="0"/>
          <w:color w:val="auto"/>
          <w:sz w:val="32"/>
          <w:szCs w:val="32"/>
          <w:highlight w:val="none"/>
          <w:lang w:val="en-US" w:eastAsia="zh-CN"/>
        </w:rPr>
        <w:t>配合对保障性住房配建费的收取、监督、管理和绩效评价工作。配合对配建资金的</w:t>
      </w:r>
      <w:r>
        <w:rPr>
          <w:rFonts w:hint="default" w:ascii="仿宋_GB2312" w:hAnsi="仿宋_GB2312" w:eastAsia="仿宋_GB2312" w:cs="仿宋_GB2312"/>
          <w:strike w:val="0"/>
          <w:dstrike w:val="0"/>
          <w:color w:val="auto"/>
          <w:sz w:val="32"/>
          <w:szCs w:val="32"/>
          <w:highlight w:val="none"/>
          <w:lang w:val="en-US" w:eastAsia="zh-CN"/>
        </w:rPr>
        <w:t>收缴、使用和管理情况进行监督检查，发现违规行为的，依法依规予以处理</w:t>
      </w:r>
      <w:r>
        <w:rPr>
          <w:rFonts w:hint="eastAsia" w:ascii="仿宋_GB2312" w:hAnsi="仿宋_GB2312" w:eastAsia="仿宋_GB2312" w:cs="仿宋_GB2312"/>
          <w:strike w:val="0"/>
          <w:dstrike w:val="0"/>
          <w:color w:val="auto"/>
          <w:sz w:val="32"/>
          <w:szCs w:val="32"/>
          <w:highlight w:val="none"/>
          <w:lang w:val="en-US" w:eastAsia="zh-CN"/>
        </w:rPr>
        <w:t>。</w:t>
      </w:r>
    </w:p>
    <w:p w14:paraId="43F5CADE">
      <w:pPr>
        <w:keepNext w:val="0"/>
        <w:keepLines w:val="0"/>
        <w:pageBreakBefore w:val="0"/>
        <w:widowControl/>
        <w:suppressLineNumbers w:val="0"/>
        <w:kinsoku/>
        <w:wordWrap/>
        <w:overflowPunct/>
        <w:topLinePunct w:val="0"/>
        <w:autoSpaceDE/>
        <w:autoSpaceDN/>
        <w:bidi w:val="0"/>
        <w:adjustRightInd/>
        <w:snapToGrid/>
        <w:spacing w:line="575" w:lineRule="exact"/>
        <w:ind w:firstLine="640" w:firstLineChars="200"/>
        <w:jc w:val="left"/>
        <w:textAlignment w:val="auto"/>
        <w:rPr>
          <w:rFonts w:hint="eastAsia" w:ascii="黑体" w:hAnsi="黑体" w:eastAsia="黑体" w:cs="黑体"/>
          <w:color w:val="auto"/>
          <w:sz w:val="32"/>
          <w:szCs w:val="32"/>
          <w:highlight w:val="none"/>
          <w:lang w:val="en-US" w:eastAsia="zh-CN"/>
        </w:rPr>
      </w:pPr>
      <w:r>
        <w:rPr>
          <w:rFonts w:hint="eastAsia" w:ascii="楷体_GB2312" w:hAnsi="楷体_GB2312" w:eastAsia="楷体_GB2312" w:cs="楷体_GB2312"/>
          <w:strike w:val="0"/>
          <w:dstrike w:val="0"/>
          <w:color w:val="auto"/>
          <w:sz w:val="32"/>
          <w:szCs w:val="32"/>
          <w:highlight w:val="none"/>
          <w:lang w:val="en-US" w:eastAsia="zh-CN"/>
        </w:rPr>
        <w:t>（五）区税务部门：</w:t>
      </w:r>
      <w:r>
        <w:rPr>
          <w:rFonts w:hint="eastAsia" w:ascii="仿宋_GB2312" w:hAnsi="仿宋_GB2312" w:eastAsia="仿宋_GB2312" w:cs="仿宋_GB2312"/>
          <w:strike w:val="0"/>
          <w:dstrike w:val="0"/>
          <w:color w:val="auto"/>
          <w:sz w:val="32"/>
          <w:szCs w:val="32"/>
          <w:highlight w:val="none"/>
          <w:lang w:val="en-US" w:eastAsia="zh-CN"/>
        </w:rPr>
        <w:t>配合</w:t>
      </w:r>
      <w:r>
        <w:rPr>
          <w:rFonts w:hint="eastAsia" w:ascii="Times New Roman" w:hAnsi="Times New Roman" w:eastAsia="仿宋_GB2312"/>
          <w:b w:val="0"/>
          <w:color w:val="auto"/>
          <w:sz w:val="32"/>
          <w:highlight w:val="none"/>
          <w:lang w:val="en-US" w:eastAsia="zh-CN"/>
        </w:rPr>
        <w:t>做好</w:t>
      </w:r>
      <w:r>
        <w:rPr>
          <w:rFonts w:ascii="Times New Roman" w:hAnsi="Times New Roman" w:eastAsia="仿宋_GB2312"/>
          <w:b w:val="0"/>
          <w:color w:val="auto"/>
          <w:sz w:val="32"/>
          <w:highlight w:val="none"/>
        </w:rPr>
        <w:t>保障性住房配建及移交环节相关税收政策</w:t>
      </w:r>
      <w:r>
        <w:rPr>
          <w:rFonts w:hint="eastAsia" w:ascii="Times New Roman" w:hAnsi="Times New Roman" w:eastAsia="仿宋_GB2312"/>
          <w:b w:val="0"/>
          <w:color w:val="auto"/>
          <w:sz w:val="32"/>
          <w:highlight w:val="none"/>
          <w:lang w:val="en-US" w:eastAsia="zh-CN"/>
        </w:rPr>
        <w:t>落实工作</w:t>
      </w:r>
      <w:r>
        <w:rPr>
          <w:rFonts w:hint="eastAsia" w:ascii="仿宋_GB2312" w:hAnsi="仿宋_GB2312" w:eastAsia="仿宋_GB2312" w:cs="仿宋_GB2312"/>
          <w:strike w:val="0"/>
          <w:dstrike w:val="0"/>
          <w:color w:val="auto"/>
          <w:sz w:val="32"/>
          <w:szCs w:val="32"/>
          <w:highlight w:val="none"/>
          <w:lang w:val="en-US" w:eastAsia="zh-CN"/>
        </w:rPr>
        <w:t>。</w:t>
      </w:r>
    </w:p>
    <w:p w14:paraId="554F859F">
      <w:pPr>
        <w:keepNext w:val="0"/>
        <w:keepLines w:val="0"/>
        <w:pageBreakBefore w:val="0"/>
        <w:widowControl w:val="0"/>
        <w:kinsoku/>
        <w:wordWrap/>
        <w:overflowPunct/>
        <w:topLinePunct w:val="0"/>
        <w:autoSpaceDE/>
        <w:autoSpaceDN/>
        <w:bidi w:val="0"/>
        <w:adjustRightInd/>
        <w:snapToGrid/>
        <w:spacing w:line="575" w:lineRule="exact"/>
        <w:jc w:val="center"/>
        <w:textAlignment w:val="auto"/>
        <w:rPr>
          <w:rFonts w:hint="eastAsia" w:ascii="黑体" w:hAnsi="黑体" w:eastAsia="黑体" w:cs="黑体"/>
          <w:color w:val="auto"/>
          <w:sz w:val="32"/>
          <w:szCs w:val="32"/>
          <w:highlight w:val="none"/>
          <w:lang w:val="en-US" w:eastAsia="zh-CN"/>
        </w:rPr>
      </w:pPr>
    </w:p>
    <w:p w14:paraId="69C8DA47">
      <w:pPr>
        <w:keepNext w:val="0"/>
        <w:keepLines w:val="0"/>
        <w:pageBreakBefore w:val="0"/>
        <w:widowControl w:val="0"/>
        <w:kinsoku/>
        <w:wordWrap/>
        <w:overflowPunct/>
        <w:topLinePunct w:val="0"/>
        <w:autoSpaceDE/>
        <w:autoSpaceDN/>
        <w:bidi w:val="0"/>
        <w:adjustRightInd/>
        <w:snapToGrid/>
        <w:spacing w:line="575" w:lineRule="exact"/>
        <w:jc w:val="center"/>
        <w:textAlignment w:val="auto"/>
        <w:rPr>
          <w:rFonts w:hint="default"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第二章 配建方式及要求</w:t>
      </w:r>
    </w:p>
    <w:p w14:paraId="6A78DEE1">
      <w:pPr>
        <w:pStyle w:val="2"/>
        <w:keepNext w:val="0"/>
        <w:keepLines w:val="0"/>
        <w:widowControl/>
        <w:suppressLineNumbers w:val="0"/>
        <w:spacing w:before="0" w:beforeAutospacing="0" w:after="0" w:afterAutospacing="0"/>
        <w:ind w:left="0" w:firstLine="0"/>
        <w:jc w:val="left"/>
        <w:rPr>
          <w:rFonts w:hint="eastAsia" w:eastAsia="仿宋_GB2312"/>
          <w:color w:val="auto"/>
          <w:highlight w:val="none"/>
          <w:lang w:eastAsia="zh-CN"/>
        </w:rPr>
      </w:pPr>
      <w:r>
        <w:rPr>
          <w:rFonts w:hint="eastAsia"/>
          <w:color w:val="auto"/>
          <w:highlight w:val="none"/>
          <w:lang w:val="en-US" w:eastAsia="zh-CN"/>
        </w:rPr>
        <w:t xml:space="preserve">     </w:t>
      </w:r>
      <w:r>
        <w:rPr>
          <w:rFonts w:hint="eastAsia" w:ascii="仿宋_GB2312" w:hAnsi="仿宋_GB2312" w:eastAsia="仿宋_GB2312" w:cs="仿宋_GB2312"/>
          <w:b/>
          <w:bCs/>
          <w:strike w:val="0"/>
          <w:dstrike w:val="0"/>
          <w:color w:val="auto"/>
          <w:sz w:val="32"/>
          <w:szCs w:val="32"/>
          <w:highlight w:val="none"/>
          <w:lang w:val="en-US" w:eastAsia="zh-CN"/>
        </w:rPr>
        <w:t xml:space="preserve">第五条 </w:t>
      </w:r>
      <w:r>
        <w:rPr>
          <w:rFonts w:hint="eastAsia" w:ascii="仿宋_GB2312" w:hAnsi="仿宋_GB2312" w:eastAsia="仿宋_GB2312" w:cs="仿宋_GB2312"/>
          <w:strike w:val="0"/>
          <w:dstrike w:val="0"/>
          <w:color w:val="auto"/>
          <w:sz w:val="32"/>
          <w:szCs w:val="32"/>
          <w:highlight w:val="none"/>
          <w:lang w:val="en-US" w:eastAsia="zh-CN"/>
        </w:rPr>
        <w:t xml:space="preserve"> 保障性住房配建比例，结合本辖区产业发展需求和房地产发展形势，保障性住房供</w:t>
      </w:r>
      <w:bookmarkStart w:id="0" w:name="_GoBack"/>
      <w:bookmarkEnd w:id="0"/>
      <w:r>
        <w:rPr>
          <w:rFonts w:hint="eastAsia" w:ascii="仿宋_GB2312" w:hAnsi="仿宋_GB2312" w:eastAsia="仿宋_GB2312" w:cs="仿宋_GB2312"/>
          <w:strike w:val="0"/>
          <w:dstrike w:val="0"/>
          <w:color w:val="auto"/>
          <w:sz w:val="32"/>
          <w:szCs w:val="32"/>
          <w:highlight w:val="none"/>
          <w:lang w:val="en-US" w:eastAsia="zh-CN"/>
        </w:rPr>
        <w:t>应和分配等情况，原则上按照“在新建商品住房项目中，应配建比例不低于住宅总建筑面积5%的保障性住房”进行配建。确需调整的，具体</w:t>
      </w:r>
      <w:r>
        <w:rPr>
          <w:rFonts w:ascii="Times New Roman" w:hAnsi="Times New Roman" w:eastAsia="仿宋_GB2312"/>
          <w:b w:val="0"/>
          <w:color w:val="auto"/>
          <w:sz w:val="32"/>
          <w:highlight w:val="none"/>
        </w:rPr>
        <w:t>由区住房保障部门会同</w:t>
      </w:r>
      <w:r>
        <w:rPr>
          <w:rFonts w:hint="eastAsia" w:ascii="Times New Roman" w:hAnsi="Times New Roman" w:eastAsia="仿宋_GB2312"/>
          <w:b w:val="0"/>
          <w:color w:val="auto"/>
          <w:sz w:val="32"/>
          <w:highlight w:val="none"/>
          <w:lang w:val="en-US" w:eastAsia="zh-CN"/>
        </w:rPr>
        <w:t>区自然资源部门提出意见</w:t>
      </w:r>
      <w:r>
        <w:rPr>
          <w:rFonts w:hint="eastAsia" w:ascii="Times New Roman" w:hAnsi="Times New Roman" w:eastAsia="仿宋_GB2312"/>
          <w:b w:val="0"/>
          <w:color w:val="auto"/>
          <w:sz w:val="32"/>
          <w:highlight w:val="none"/>
          <w:lang w:eastAsia="zh-CN"/>
        </w:rPr>
        <w:t>，</w:t>
      </w:r>
      <w:r>
        <w:rPr>
          <w:rFonts w:hint="eastAsia" w:ascii="Times New Roman" w:hAnsi="Times New Roman" w:eastAsia="仿宋_GB2312"/>
          <w:b w:val="0"/>
          <w:color w:val="auto"/>
          <w:sz w:val="32"/>
          <w:highlight w:val="none"/>
          <w:lang w:val="en-US" w:eastAsia="zh-CN"/>
        </w:rPr>
        <w:t>就是否</w:t>
      </w:r>
      <w:r>
        <w:rPr>
          <w:rFonts w:ascii="Times New Roman" w:hAnsi="Times New Roman" w:eastAsia="仿宋_GB2312"/>
          <w:b w:val="0"/>
          <w:color w:val="auto"/>
          <w:sz w:val="32"/>
          <w:highlight w:val="none"/>
        </w:rPr>
        <w:t>在出让方案中予以明确</w:t>
      </w:r>
      <w:r>
        <w:rPr>
          <w:rFonts w:hint="eastAsia" w:ascii="Times New Roman" w:hAnsi="Times New Roman" w:eastAsia="仿宋_GB2312"/>
          <w:b w:val="0"/>
          <w:color w:val="auto"/>
          <w:sz w:val="32"/>
          <w:highlight w:val="none"/>
          <w:lang w:val="en-US" w:eastAsia="zh-CN"/>
        </w:rPr>
        <w:t>向</w:t>
      </w:r>
      <w:r>
        <w:rPr>
          <w:rFonts w:ascii="Times New Roman" w:hAnsi="Times New Roman" w:eastAsia="仿宋_GB2312"/>
          <w:b w:val="0"/>
          <w:color w:val="auto"/>
          <w:sz w:val="32"/>
          <w:highlight w:val="none"/>
        </w:rPr>
        <w:t>市自然资源主管部门</w:t>
      </w:r>
      <w:r>
        <w:rPr>
          <w:rFonts w:hint="eastAsia" w:ascii="Times New Roman" w:hAnsi="Times New Roman" w:eastAsia="仿宋_GB2312"/>
          <w:b w:val="0"/>
          <w:color w:val="auto"/>
          <w:sz w:val="32"/>
          <w:highlight w:val="none"/>
          <w:lang w:val="en-US" w:eastAsia="zh-CN"/>
        </w:rPr>
        <w:t>提交请示</w:t>
      </w:r>
      <w:r>
        <w:rPr>
          <w:rFonts w:hint="eastAsia" w:ascii="Times New Roman" w:hAnsi="Times New Roman" w:eastAsia="仿宋_GB2312"/>
          <w:b w:val="0"/>
          <w:color w:val="auto"/>
          <w:sz w:val="32"/>
          <w:highlight w:val="none"/>
          <w:lang w:eastAsia="zh-CN"/>
        </w:rPr>
        <w:t>。</w:t>
      </w:r>
    </w:p>
    <w:p w14:paraId="4249AD20">
      <w:pPr>
        <w:keepNext w:val="0"/>
        <w:keepLines w:val="0"/>
        <w:pageBreakBefore w:val="0"/>
        <w:widowControl w:val="0"/>
        <w:kinsoku/>
        <w:wordWrap/>
        <w:overflowPunct/>
        <w:topLinePunct w:val="0"/>
        <w:autoSpaceDE/>
        <w:autoSpaceDN/>
        <w:bidi w:val="0"/>
        <w:adjustRightInd/>
        <w:snapToGrid/>
        <w:spacing w:line="575" w:lineRule="exact"/>
        <w:ind w:firstLine="643"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第六条</w:t>
      </w:r>
      <w:r>
        <w:rPr>
          <w:rFonts w:hint="eastAsia" w:ascii="仿宋_GB2312" w:hAnsi="仿宋_GB2312" w:eastAsia="仿宋_GB2312"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rPr>
        <w:t>保障性住房配建方式分为原地</w:t>
      </w:r>
      <w:r>
        <w:rPr>
          <w:rFonts w:hint="eastAsia" w:ascii="仿宋_GB2312" w:hAnsi="仿宋_GB2312" w:eastAsia="仿宋_GB2312" w:cs="仿宋_GB2312"/>
          <w:color w:val="auto"/>
          <w:sz w:val="32"/>
          <w:szCs w:val="32"/>
          <w:highlight w:val="none"/>
          <w:lang w:val="en-US" w:eastAsia="zh-CN"/>
        </w:rPr>
        <w:t>配建</w:t>
      </w:r>
      <w:r>
        <w:rPr>
          <w:rFonts w:hint="eastAsia" w:ascii="仿宋_GB2312" w:hAnsi="仿宋_GB2312" w:eastAsia="仿宋_GB2312" w:cs="仿宋_GB2312"/>
          <w:color w:val="auto"/>
          <w:sz w:val="32"/>
          <w:szCs w:val="32"/>
          <w:highlight w:val="none"/>
        </w:rPr>
        <w:t>、异地</w:t>
      </w:r>
      <w:r>
        <w:rPr>
          <w:rFonts w:hint="eastAsia" w:ascii="仿宋_GB2312" w:hAnsi="仿宋_GB2312" w:eastAsia="仿宋_GB2312" w:cs="仿宋_GB2312"/>
          <w:color w:val="auto"/>
          <w:sz w:val="32"/>
          <w:szCs w:val="32"/>
          <w:highlight w:val="none"/>
          <w:lang w:val="en-US" w:eastAsia="zh-CN"/>
        </w:rPr>
        <w:t>配建</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缴纳费用抵扣、异地购买或提供成套住房四</w:t>
      </w:r>
      <w:r>
        <w:rPr>
          <w:rFonts w:hint="eastAsia" w:ascii="仿宋_GB2312" w:hAnsi="仿宋_GB2312" w:eastAsia="仿宋_GB2312" w:cs="仿宋_GB2312"/>
          <w:color w:val="auto"/>
          <w:sz w:val="32"/>
          <w:szCs w:val="32"/>
          <w:highlight w:val="none"/>
        </w:rPr>
        <w:t>种方式</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原则上</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在符合整体规划条件下</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房地产开发企业可自行选择保障性住房配建方式。</w:t>
      </w:r>
    </w:p>
    <w:p w14:paraId="3BC1ED6F">
      <w:pPr>
        <w:keepNext w:val="0"/>
        <w:keepLines w:val="0"/>
        <w:pageBreakBefore w:val="0"/>
        <w:widowControl w:val="0"/>
        <w:kinsoku/>
        <w:wordWrap/>
        <w:overflowPunct/>
        <w:topLinePunct w:val="0"/>
        <w:autoSpaceDE/>
        <w:autoSpaceDN/>
        <w:bidi w:val="0"/>
        <w:adjustRightInd/>
        <w:snapToGrid/>
        <w:spacing w:line="575"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楷体_GB2312" w:hAnsi="楷体_GB2312" w:eastAsia="楷体_GB2312" w:cs="楷体_GB2312"/>
          <w:color w:val="auto"/>
          <w:sz w:val="32"/>
          <w:szCs w:val="32"/>
          <w:highlight w:val="none"/>
        </w:rPr>
        <w:t>（一）原地配建：</w:t>
      </w:r>
      <w:r>
        <w:rPr>
          <w:rFonts w:hint="eastAsia" w:ascii="仿宋_GB2312" w:hAnsi="仿宋_GB2312" w:eastAsia="仿宋_GB2312" w:cs="仿宋_GB2312"/>
          <w:color w:val="auto"/>
          <w:sz w:val="32"/>
          <w:szCs w:val="32"/>
          <w:highlight w:val="none"/>
        </w:rPr>
        <w:t>是指</w:t>
      </w:r>
      <w:r>
        <w:rPr>
          <w:rFonts w:hint="eastAsia" w:ascii="仿宋_GB2312" w:hAnsi="仿宋_GB2312" w:eastAsia="仿宋_GB2312" w:cs="仿宋_GB2312"/>
          <w:color w:val="auto"/>
          <w:sz w:val="32"/>
          <w:szCs w:val="32"/>
          <w:highlight w:val="none"/>
          <w:lang w:eastAsia="zh-CN"/>
        </w:rPr>
        <w:t>在新建商品房</w:t>
      </w:r>
      <w:r>
        <w:rPr>
          <w:rFonts w:hint="eastAsia" w:ascii="仿宋_GB2312" w:hAnsi="仿宋_GB2312" w:eastAsia="仿宋_GB2312" w:cs="仿宋_GB2312"/>
          <w:color w:val="auto"/>
          <w:sz w:val="32"/>
          <w:szCs w:val="32"/>
          <w:highlight w:val="none"/>
        </w:rPr>
        <w:t>项目本址上，按住宅总建筑面积的一定比例</w:t>
      </w:r>
      <w:r>
        <w:rPr>
          <w:rFonts w:hint="eastAsia" w:ascii="仿宋_GB2312" w:hAnsi="仿宋_GB2312" w:eastAsia="仿宋_GB2312" w:cs="仿宋_GB2312"/>
          <w:color w:val="auto"/>
          <w:sz w:val="32"/>
          <w:szCs w:val="32"/>
          <w:highlight w:val="none"/>
          <w:lang w:val="en-US" w:eastAsia="zh-CN"/>
        </w:rPr>
        <w:t>配建</w:t>
      </w:r>
      <w:r>
        <w:rPr>
          <w:rFonts w:hint="eastAsia" w:ascii="仿宋_GB2312" w:hAnsi="仿宋_GB2312" w:eastAsia="仿宋_GB2312" w:cs="仿宋_GB2312"/>
          <w:color w:val="auto"/>
          <w:sz w:val="32"/>
          <w:szCs w:val="32"/>
          <w:highlight w:val="none"/>
        </w:rPr>
        <w:t>的保障性住房</w:t>
      </w:r>
      <w:r>
        <w:rPr>
          <w:rFonts w:hint="eastAsia" w:ascii="仿宋_GB2312" w:hAnsi="仿宋_GB2312" w:eastAsia="仿宋_GB2312" w:cs="仿宋_GB2312"/>
          <w:color w:val="auto"/>
          <w:sz w:val="32"/>
          <w:szCs w:val="32"/>
          <w:highlight w:val="none"/>
          <w:lang w:eastAsia="zh-CN"/>
        </w:rPr>
        <w:t>。</w:t>
      </w:r>
    </w:p>
    <w:p w14:paraId="65BD4380">
      <w:pPr>
        <w:keepNext w:val="0"/>
        <w:keepLines w:val="0"/>
        <w:pageBreakBefore w:val="0"/>
        <w:widowControl w:val="0"/>
        <w:kinsoku/>
        <w:wordWrap/>
        <w:overflowPunct/>
        <w:topLinePunct w:val="0"/>
        <w:autoSpaceDE/>
        <w:autoSpaceDN/>
        <w:bidi w:val="0"/>
        <w:adjustRightInd/>
        <w:snapToGrid/>
        <w:spacing w:line="575"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楷体_GB2312" w:hAnsi="楷体_GB2312" w:eastAsia="楷体_GB2312" w:cs="楷体_GB2312"/>
          <w:color w:val="auto"/>
          <w:sz w:val="32"/>
          <w:szCs w:val="32"/>
          <w:highlight w:val="none"/>
        </w:rPr>
        <w:t>（二）异地配建：</w:t>
      </w:r>
      <w:r>
        <w:rPr>
          <w:rFonts w:hint="eastAsia" w:ascii="仿宋_GB2312" w:hAnsi="仿宋_GB2312" w:eastAsia="仿宋_GB2312" w:cs="仿宋_GB2312"/>
          <w:color w:val="auto"/>
          <w:sz w:val="32"/>
          <w:szCs w:val="32"/>
          <w:highlight w:val="none"/>
        </w:rPr>
        <w:t>是指</w:t>
      </w:r>
      <w:r>
        <w:rPr>
          <w:rFonts w:hint="eastAsia" w:ascii="仿宋_GB2312" w:hAnsi="仿宋_GB2312" w:eastAsia="仿宋_GB2312" w:cs="仿宋_GB2312"/>
          <w:color w:val="auto"/>
          <w:sz w:val="32"/>
          <w:szCs w:val="32"/>
          <w:highlight w:val="none"/>
          <w:lang w:val="en-US" w:eastAsia="zh-CN"/>
        </w:rPr>
        <w:t>通过在其他项目中建设保障性住房，在完成新建商品房项目时，</w:t>
      </w:r>
      <w:r>
        <w:rPr>
          <w:rFonts w:hint="eastAsia" w:ascii="仿宋_GB2312" w:hAnsi="仿宋_GB2312" w:eastAsia="仿宋_GB2312" w:cs="仿宋_GB2312"/>
          <w:color w:val="auto"/>
          <w:sz w:val="32"/>
          <w:szCs w:val="32"/>
          <w:highlight w:val="none"/>
        </w:rPr>
        <w:t>按住宅总建筑面积的一定比例</w:t>
      </w:r>
      <w:r>
        <w:rPr>
          <w:rFonts w:hint="eastAsia" w:ascii="仿宋_GB2312" w:hAnsi="仿宋_GB2312" w:eastAsia="仿宋_GB2312" w:cs="仿宋_GB2312"/>
          <w:color w:val="auto"/>
          <w:sz w:val="32"/>
          <w:szCs w:val="32"/>
          <w:highlight w:val="none"/>
          <w:lang w:val="en-US" w:eastAsia="zh-CN"/>
        </w:rPr>
        <w:t>筹集建设</w:t>
      </w:r>
      <w:r>
        <w:rPr>
          <w:rFonts w:hint="eastAsia" w:ascii="仿宋_GB2312" w:hAnsi="仿宋_GB2312" w:eastAsia="仿宋_GB2312" w:cs="仿宋_GB2312"/>
          <w:color w:val="auto"/>
          <w:sz w:val="32"/>
          <w:szCs w:val="32"/>
          <w:highlight w:val="none"/>
        </w:rPr>
        <w:t>的保障性住房</w:t>
      </w:r>
      <w:r>
        <w:rPr>
          <w:rFonts w:hint="eastAsia" w:ascii="仿宋_GB2312" w:hAnsi="仿宋_GB2312" w:eastAsia="仿宋_GB2312" w:cs="仿宋_GB2312"/>
          <w:color w:val="auto"/>
          <w:sz w:val="32"/>
          <w:szCs w:val="32"/>
          <w:highlight w:val="none"/>
          <w:lang w:val="en-US" w:eastAsia="zh-CN"/>
        </w:rPr>
        <w:t>指标。</w:t>
      </w:r>
    </w:p>
    <w:p w14:paraId="6C297BF6">
      <w:pPr>
        <w:keepNext w:val="0"/>
        <w:keepLines w:val="0"/>
        <w:widowControl/>
        <w:suppressLineNumbers w:val="0"/>
        <w:ind w:firstLine="640" w:firstLineChars="200"/>
        <w:jc w:val="left"/>
        <w:rPr>
          <w:rFonts w:hint="eastAsia" w:ascii="仿宋_GB2312" w:hAnsi="仿宋_GB2312" w:eastAsia="仿宋_GB2312" w:cs="仿宋_GB2312"/>
          <w:color w:val="auto"/>
          <w:sz w:val="32"/>
          <w:szCs w:val="32"/>
          <w:highlight w:val="none"/>
          <w:lang w:val="en-US" w:eastAsia="zh-CN"/>
        </w:rPr>
      </w:pPr>
      <w:r>
        <w:rPr>
          <w:rFonts w:hint="eastAsia" w:ascii="楷体_GB2312" w:hAnsi="楷体_GB2312" w:eastAsia="楷体_GB2312" w:cs="楷体_GB2312"/>
          <w:color w:val="auto"/>
          <w:sz w:val="32"/>
          <w:szCs w:val="32"/>
          <w:highlight w:val="none"/>
        </w:rPr>
        <w:t>（三）保障性住房交费抵配建：</w:t>
      </w:r>
      <w:r>
        <w:rPr>
          <w:rFonts w:hint="eastAsia" w:ascii="仿宋_GB2312" w:hAnsi="仿宋_GB2312" w:eastAsia="仿宋_GB2312" w:cs="仿宋_GB2312"/>
          <w:color w:val="auto"/>
          <w:sz w:val="32"/>
          <w:szCs w:val="32"/>
          <w:highlight w:val="none"/>
        </w:rPr>
        <w:t>是指以缴纳保障性住房配建费的方式抵消保障性住房配建指标</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具体配建费用</w:t>
      </w:r>
      <w:r>
        <w:rPr>
          <w:rFonts w:hint="eastAsia" w:ascii="仿宋_GB2312" w:hAnsi="仿宋_GB2312" w:eastAsia="仿宋_GB2312" w:cs="仿宋_GB2312"/>
          <w:color w:val="auto"/>
          <w:sz w:val="32"/>
          <w:szCs w:val="32"/>
          <w:highlight w:val="none"/>
          <w:lang w:val="en-US" w:eastAsia="zh-CN"/>
        </w:rPr>
        <w:t>计算标准如下：</w:t>
      </w:r>
    </w:p>
    <w:p w14:paraId="0FFD54A0">
      <w:pPr>
        <w:keepNext w:val="0"/>
        <w:keepLines w:val="0"/>
        <w:widowControl/>
        <w:suppressLineNumbers w:val="0"/>
        <w:jc w:val="left"/>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配建费单价由区住房和城乡建设局会同区发展和改革部门、区财政局、克拉玛依市自然资源局克拉玛依区分局委托具备资质的评估机构测算，报市住房和城乡建设局、市价格主管部门核定后向社会公布。</w:t>
      </w:r>
    </w:p>
    <w:p w14:paraId="37AC5B50">
      <w:pPr>
        <w:keepNext w:val="0"/>
        <w:keepLines w:val="0"/>
        <w:pageBreakBefore w:val="0"/>
        <w:widowControl w:val="0"/>
        <w:kinsoku/>
        <w:wordWrap/>
        <w:overflowPunct/>
        <w:topLinePunct w:val="0"/>
        <w:autoSpaceDE/>
        <w:autoSpaceDN/>
        <w:bidi w:val="0"/>
        <w:adjustRightInd/>
        <w:snapToGrid/>
        <w:spacing w:line="575" w:lineRule="exact"/>
        <w:ind w:firstLine="640" w:firstLineChars="200"/>
        <w:textAlignment w:val="auto"/>
        <w:rPr>
          <w:rFonts w:hint="default" w:ascii="仿宋_GB2312" w:hAnsi="仿宋_GB2312" w:eastAsia="仿宋_GB2312" w:cs="仿宋_GB2312"/>
          <w:color w:val="auto"/>
          <w:sz w:val="32"/>
          <w:szCs w:val="32"/>
          <w:highlight w:val="none"/>
          <w:lang w:val="en-US" w:eastAsia="zh-CN"/>
        </w:rPr>
      </w:pPr>
      <w:r>
        <w:rPr>
          <w:rFonts w:hint="eastAsia" w:ascii="楷体_GB2312" w:hAnsi="楷体_GB2312" w:eastAsia="楷体_GB2312" w:cs="楷体_GB2312"/>
          <w:color w:val="auto"/>
          <w:sz w:val="32"/>
          <w:szCs w:val="32"/>
          <w:highlight w:val="none"/>
          <w:lang w:eastAsia="zh-CN"/>
        </w:rPr>
        <w:t>（</w:t>
      </w:r>
      <w:r>
        <w:rPr>
          <w:rFonts w:hint="eastAsia" w:ascii="楷体_GB2312" w:hAnsi="楷体_GB2312" w:eastAsia="楷体_GB2312" w:cs="楷体_GB2312"/>
          <w:color w:val="auto"/>
          <w:sz w:val="32"/>
          <w:szCs w:val="32"/>
          <w:highlight w:val="none"/>
          <w:lang w:val="en-US" w:eastAsia="zh-CN"/>
        </w:rPr>
        <w:t>四</w:t>
      </w:r>
      <w:r>
        <w:rPr>
          <w:rFonts w:hint="eastAsia" w:ascii="楷体_GB2312" w:hAnsi="楷体_GB2312" w:eastAsia="楷体_GB2312" w:cs="楷体_GB2312"/>
          <w:color w:val="auto"/>
          <w:sz w:val="32"/>
          <w:szCs w:val="32"/>
          <w:highlight w:val="none"/>
          <w:lang w:eastAsia="zh-CN"/>
        </w:rPr>
        <w:t>）</w:t>
      </w:r>
      <w:r>
        <w:rPr>
          <w:rFonts w:hint="eastAsia" w:ascii="楷体_GB2312" w:hAnsi="楷体_GB2312" w:eastAsia="楷体_GB2312" w:cs="楷体_GB2312"/>
          <w:color w:val="auto"/>
          <w:sz w:val="32"/>
          <w:szCs w:val="32"/>
          <w:highlight w:val="none"/>
          <w:lang w:val="en-US" w:eastAsia="zh-CN"/>
        </w:rPr>
        <w:t>异地购买及提供成套住房：</w:t>
      </w:r>
      <w:r>
        <w:rPr>
          <w:rFonts w:hint="eastAsia" w:ascii="仿宋_GB2312" w:hAnsi="仿宋_GB2312" w:eastAsia="仿宋_GB2312" w:cs="仿宋_GB2312"/>
          <w:color w:val="auto"/>
          <w:sz w:val="32"/>
          <w:szCs w:val="32"/>
          <w:highlight w:val="none"/>
          <w:lang w:val="en-US" w:eastAsia="zh-CN"/>
        </w:rPr>
        <w:t>是指开发企业在区住房保障部门指定区域购买成套住房，或提供企业现有成套住房用作保障性住房，</w:t>
      </w:r>
      <w:r>
        <w:rPr>
          <w:rFonts w:hint="eastAsia" w:ascii="仿宋_GB2312" w:hAnsi="仿宋_GB2312" w:eastAsia="仿宋_GB2312" w:cs="仿宋_GB2312"/>
          <w:color w:val="auto"/>
          <w:sz w:val="32"/>
          <w:szCs w:val="32"/>
          <w:highlight w:val="none"/>
        </w:rPr>
        <w:t>抵消保障性住房配建指标</w:t>
      </w:r>
      <w:r>
        <w:rPr>
          <w:rFonts w:hint="eastAsia" w:ascii="仿宋_GB2312" w:hAnsi="仿宋_GB2312" w:eastAsia="仿宋_GB2312" w:cs="仿宋_GB2312"/>
          <w:color w:val="auto"/>
          <w:sz w:val="32"/>
          <w:szCs w:val="32"/>
          <w:highlight w:val="none"/>
          <w:lang w:val="en-US" w:eastAsia="zh-CN"/>
        </w:rPr>
        <w:t>的方式，其中购买或提供成套住房总面积不得低于</w:t>
      </w:r>
      <w:r>
        <w:rPr>
          <w:rFonts w:hint="eastAsia" w:ascii="仿宋_GB2312" w:hAnsi="仿宋_GB2312" w:eastAsia="仿宋_GB2312" w:cs="仿宋_GB2312"/>
          <w:color w:val="auto"/>
          <w:sz w:val="32"/>
          <w:szCs w:val="32"/>
          <w:highlight w:val="none"/>
        </w:rPr>
        <w:t>保障性住房配建指标</w:t>
      </w:r>
      <w:r>
        <w:rPr>
          <w:rFonts w:hint="eastAsia" w:ascii="仿宋_GB2312" w:hAnsi="仿宋_GB2312" w:eastAsia="仿宋_GB2312" w:cs="仿宋_GB2312"/>
          <w:color w:val="auto"/>
          <w:sz w:val="32"/>
          <w:szCs w:val="32"/>
          <w:highlight w:val="none"/>
          <w:lang w:val="en-US" w:eastAsia="zh-CN"/>
        </w:rPr>
        <w:t>的90%。</w:t>
      </w:r>
    </w:p>
    <w:p w14:paraId="5E994432">
      <w:pPr>
        <w:keepNext w:val="0"/>
        <w:keepLines w:val="0"/>
        <w:pageBreakBefore w:val="0"/>
        <w:widowControl w:val="0"/>
        <w:kinsoku/>
        <w:wordWrap/>
        <w:overflowPunct/>
        <w:topLinePunct w:val="0"/>
        <w:autoSpaceDE/>
        <w:autoSpaceDN/>
        <w:bidi w:val="0"/>
        <w:adjustRightInd/>
        <w:snapToGrid/>
        <w:spacing w:line="575" w:lineRule="exact"/>
        <w:jc w:val="center"/>
        <w:textAlignment w:val="auto"/>
        <w:rPr>
          <w:rFonts w:hint="eastAsia" w:ascii="黑体" w:hAnsi="黑体" w:eastAsia="黑体" w:cs="黑体"/>
          <w:color w:val="auto"/>
          <w:sz w:val="32"/>
          <w:szCs w:val="32"/>
          <w:highlight w:val="none"/>
          <w:lang w:val="en-US" w:eastAsia="zh-CN"/>
        </w:rPr>
      </w:pPr>
    </w:p>
    <w:p w14:paraId="765CC441">
      <w:pPr>
        <w:keepNext w:val="0"/>
        <w:keepLines w:val="0"/>
        <w:pageBreakBefore w:val="0"/>
        <w:widowControl w:val="0"/>
        <w:kinsoku/>
        <w:wordWrap/>
        <w:overflowPunct/>
        <w:topLinePunct w:val="0"/>
        <w:autoSpaceDE/>
        <w:autoSpaceDN/>
        <w:bidi w:val="0"/>
        <w:adjustRightInd/>
        <w:snapToGrid/>
        <w:spacing w:line="575" w:lineRule="exact"/>
        <w:jc w:val="center"/>
        <w:textAlignment w:val="auto"/>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lang w:val="en-US" w:eastAsia="zh-CN"/>
        </w:rPr>
        <w:t xml:space="preserve">第三章 </w:t>
      </w:r>
      <w:r>
        <w:rPr>
          <w:rFonts w:hint="eastAsia" w:ascii="黑体" w:hAnsi="黑体" w:eastAsia="黑体" w:cs="黑体"/>
          <w:color w:val="auto"/>
          <w:sz w:val="32"/>
          <w:szCs w:val="32"/>
          <w:highlight w:val="none"/>
        </w:rPr>
        <w:t>配建房源要求</w:t>
      </w:r>
    </w:p>
    <w:p w14:paraId="5DDC6BD7">
      <w:pPr>
        <w:keepNext w:val="0"/>
        <w:keepLines w:val="0"/>
        <w:pageBreakBefore w:val="0"/>
        <w:widowControl/>
        <w:suppressLineNumbers w:val="0"/>
        <w:kinsoku/>
        <w:wordWrap/>
        <w:overflowPunct/>
        <w:topLinePunct w:val="0"/>
        <w:autoSpaceDE/>
        <w:autoSpaceDN/>
        <w:bidi w:val="0"/>
        <w:adjustRightInd/>
        <w:snapToGrid/>
        <w:spacing w:line="575" w:lineRule="exact"/>
        <w:ind w:firstLine="643"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第七条</w:t>
      </w:r>
      <w:r>
        <w:rPr>
          <w:rFonts w:hint="eastAsia" w:ascii="仿宋_GB2312" w:hAnsi="仿宋_GB2312" w:eastAsia="仿宋_GB2312"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rPr>
        <w:t>配建房源</w:t>
      </w:r>
      <w:r>
        <w:rPr>
          <w:rFonts w:hint="eastAsia" w:ascii="仿宋_GB2312" w:hAnsi="仿宋_GB2312" w:eastAsia="仿宋_GB2312" w:cs="仿宋_GB2312"/>
          <w:strike w:val="0"/>
          <w:dstrike w:val="0"/>
          <w:color w:val="auto"/>
          <w:sz w:val="32"/>
          <w:szCs w:val="32"/>
          <w:highlight w:val="none"/>
          <w:lang w:val="en-US" w:eastAsia="zh-CN"/>
        </w:rPr>
        <w:t>原则上</w:t>
      </w:r>
      <w:r>
        <w:rPr>
          <w:rFonts w:hint="eastAsia" w:ascii="仿宋_GB2312" w:hAnsi="仿宋_GB2312" w:eastAsia="仿宋_GB2312" w:cs="仿宋_GB2312"/>
          <w:color w:val="auto"/>
          <w:sz w:val="32"/>
          <w:szCs w:val="32"/>
          <w:highlight w:val="none"/>
        </w:rPr>
        <w:t>作为保障性住房使用，不得擅自挪作他用或处置。配建房源由区政府指定机构按照相关政策，出租或者出售给符合准入条件的保障对象。配建房源可根据实际需求情况调整为公共租赁住房、保障性租赁住房及配售型保障性住房。</w:t>
      </w:r>
      <w:r>
        <w:rPr>
          <w:rFonts w:hint="eastAsia" w:ascii="仿宋_GB2312" w:hAnsi="仿宋_GB2312" w:eastAsia="仿宋_GB2312" w:cs="仿宋_GB2312"/>
          <w:color w:val="auto"/>
          <w:sz w:val="32"/>
          <w:szCs w:val="32"/>
          <w:highlight w:val="none"/>
          <w:lang w:val="en-US" w:eastAsia="zh-CN"/>
        </w:rPr>
        <w:t>其中</w:t>
      </w:r>
      <w:r>
        <w:rPr>
          <w:rFonts w:ascii="Times New Roman" w:hAnsi="Times New Roman" w:eastAsia="仿宋_GB2312"/>
          <w:b w:val="0"/>
          <w:color w:val="auto"/>
          <w:sz w:val="32"/>
          <w:highlight w:val="none"/>
        </w:rPr>
        <w:t>调整为配售型保障性住房的，实行封闭管理，不得变更为商品住房流入市场</w:t>
      </w:r>
      <w:r>
        <w:rPr>
          <w:rFonts w:hint="eastAsia" w:ascii="Times New Roman" w:hAnsi="Times New Roman" w:eastAsia="仿宋_GB2312"/>
          <w:b w:val="0"/>
          <w:color w:val="auto"/>
          <w:sz w:val="32"/>
          <w:highlight w:val="none"/>
          <w:lang w:eastAsia="zh-CN"/>
        </w:rPr>
        <w:t>。</w:t>
      </w:r>
    </w:p>
    <w:p w14:paraId="341F37A7">
      <w:pPr>
        <w:keepNext w:val="0"/>
        <w:keepLines w:val="0"/>
        <w:pageBreakBefore w:val="0"/>
        <w:widowControl w:val="0"/>
        <w:kinsoku/>
        <w:wordWrap/>
        <w:overflowPunct/>
        <w:topLinePunct w:val="0"/>
        <w:autoSpaceDE/>
        <w:autoSpaceDN/>
        <w:bidi w:val="0"/>
        <w:adjustRightInd/>
        <w:snapToGrid/>
        <w:spacing w:line="575" w:lineRule="exact"/>
        <w:ind w:firstLine="643"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第八条</w:t>
      </w:r>
      <w:r>
        <w:rPr>
          <w:rFonts w:hint="eastAsia" w:ascii="仿宋_GB2312" w:hAnsi="仿宋_GB2312" w:eastAsia="仿宋_GB2312"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rPr>
        <w:t>新建商品房项目的开发建设单位，</w:t>
      </w:r>
      <w:r>
        <w:rPr>
          <w:rFonts w:hint="eastAsia" w:ascii="仿宋_GB2312" w:hAnsi="仿宋_GB2312" w:eastAsia="仿宋_GB2312" w:cs="仿宋_GB2312"/>
          <w:color w:val="auto"/>
          <w:sz w:val="32"/>
          <w:szCs w:val="32"/>
          <w:highlight w:val="none"/>
          <w:lang w:val="en-US" w:eastAsia="zh-CN"/>
        </w:rPr>
        <w:t>按照</w:t>
      </w:r>
      <w:r>
        <w:rPr>
          <w:rFonts w:hint="eastAsia" w:ascii="仿宋_GB2312" w:hAnsi="仿宋_GB2312" w:eastAsia="仿宋_GB2312" w:cs="仿宋_GB2312"/>
          <w:color w:val="auto"/>
          <w:sz w:val="32"/>
          <w:szCs w:val="32"/>
          <w:highlight w:val="none"/>
        </w:rPr>
        <w:t>原地</w:t>
      </w:r>
      <w:r>
        <w:rPr>
          <w:rFonts w:hint="eastAsia" w:ascii="仿宋_GB2312" w:hAnsi="仿宋_GB2312" w:eastAsia="仿宋_GB2312" w:cs="仿宋_GB2312"/>
          <w:color w:val="auto"/>
          <w:sz w:val="32"/>
          <w:szCs w:val="32"/>
          <w:highlight w:val="none"/>
          <w:lang w:val="en-US" w:eastAsia="zh-CN"/>
        </w:rPr>
        <w:t>配建的方式完成保障性住房建设指标的</w:t>
      </w:r>
      <w:r>
        <w:rPr>
          <w:rFonts w:hint="eastAsia" w:ascii="仿宋_GB2312" w:hAnsi="仿宋_GB2312" w:eastAsia="仿宋_GB2312" w:cs="仿宋_GB2312"/>
          <w:color w:val="auto"/>
          <w:sz w:val="32"/>
          <w:szCs w:val="32"/>
          <w:highlight w:val="none"/>
        </w:rPr>
        <w:t>，必须严格按照保障性住房的建设标准及国家规定，在项目中优先建设，并与小区内</w:t>
      </w:r>
      <w:r>
        <w:rPr>
          <w:rFonts w:hint="eastAsia" w:ascii="仿宋_GB2312" w:hAnsi="仿宋_GB2312" w:eastAsia="仿宋_GB2312" w:cs="仿宋_GB2312"/>
          <w:color w:val="auto"/>
          <w:sz w:val="32"/>
          <w:szCs w:val="32"/>
          <w:highlight w:val="none"/>
          <w:lang w:eastAsia="zh-CN"/>
        </w:rPr>
        <w:t>其他</w:t>
      </w:r>
      <w:r>
        <w:rPr>
          <w:rFonts w:hint="eastAsia" w:ascii="仿宋_GB2312" w:hAnsi="仿宋_GB2312" w:eastAsia="仿宋_GB2312" w:cs="仿宋_GB2312"/>
          <w:color w:val="auto"/>
          <w:sz w:val="32"/>
          <w:szCs w:val="32"/>
          <w:highlight w:val="none"/>
        </w:rPr>
        <w:t>建设项目按照“同时设计、同时施工、同时竣工验收”的程序进行建设。规划项目分期建</w:t>
      </w:r>
      <w:r>
        <w:rPr>
          <w:rFonts w:hint="eastAsia" w:ascii="仿宋_GB2312" w:hAnsi="仿宋_GB2312" w:eastAsia="仿宋_GB2312" w:cs="仿宋_GB2312"/>
          <w:color w:val="auto"/>
          <w:sz w:val="32"/>
          <w:szCs w:val="32"/>
          <w:highlight w:val="none"/>
          <w:lang w:val="en-US" w:eastAsia="zh-CN"/>
        </w:rPr>
        <w:t>设的，配建的保障房应在首期开发建设中完成。</w:t>
      </w:r>
      <w:r>
        <w:rPr>
          <w:rFonts w:hint="eastAsia" w:ascii="仿宋_GB2312" w:hAnsi="仿宋_GB2312" w:eastAsia="仿宋_GB2312" w:cs="仿宋_GB2312"/>
          <w:color w:val="auto"/>
          <w:sz w:val="32"/>
          <w:szCs w:val="32"/>
          <w:highlight w:val="none"/>
        </w:rPr>
        <w:t>同一商品住房项目中配建保障性住房应按整栋或整个单元的方式集中建设，不足整单元部分</w:t>
      </w:r>
      <w:r>
        <w:rPr>
          <w:rFonts w:hint="eastAsia" w:ascii="仿宋_GB2312" w:hAnsi="仿宋_GB2312" w:eastAsia="仿宋_GB2312" w:cs="仿宋_GB2312"/>
          <w:color w:val="auto"/>
          <w:sz w:val="32"/>
          <w:szCs w:val="32"/>
          <w:highlight w:val="none"/>
          <w:lang w:val="en-US" w:eastAsia="zh-CN"/>
        </w:rPr>
        <w:t>应集中在部分楼层进行设置。</w:t>
      </w:r>
    </w:p>
    <w:p w14:paraId="3C9A1130">
      <w:pPr>
        <w:keepNext w:val="0"/>
        <w:keepLines w:val="0"/>
        <w:pageBreakBefore w:val="0"/>
        <w:widowControl w:val="0"/>
        <w:kinsoku/>
        <w:wordWrap/>
        <w:overflowPunct/>
        <w:topLinePunct w:val="0"/>
        <w:autoSpaceDE/>
        <w:autoSpaceDN/>
        <w:bidi w:val="0"/>
        <w:adjustRightInd/>
        <w:snapToGrid/>
        <w:spacing w:line="575" w:lineRule="exact"/>
        <w:ind w:firstLine="643"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第九条</w:t>
      </w:r>
      <w:r>
        <w:rPr>
          <w:rFonts w:hint="eastAsia" w:ascii="仿宋_GB2312" w:hAnsi="仿宋_GB2312" w:eastAsia="仿宋_GB2312"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rPr>
        <w:t>新建商品房项目的开发建设单位，</w:t>
      </w:r>
      <w:r>
        <w:rPr>
          <w:rFonts w:hint="eastAsia" w:ascii="仿宋_GB2312" w:hAnsi="仿宋_GB2312" w:eastAsia="仿宋_GB2312" w:cs="仿宋_GB2312"/>
          <w:color w:val="auto"/>
          <w:sz w:val="32"/>
          <w:szCs w:val="32"/>
          <w:highlight w:val="none"/>
          <w:lang w:val="en-US" w:eastAsia="zh-CN"/>
        </w:rPr>
        <w:t>按照异地配建的方式完成保障性住房建设指标的</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相关要求与原地配建方式完成保障性住房建设指标的一致。开发建设单位需</w:t>
      </w:r>
      <w:r>
        <w:rPr>
          <w:rFonts w:hint="eastAsia" w:ascii="仿宋_GB2312" w:hAnsi="仿宋_GB2312" w:eastAsia="仿宋_GB2312" w:cs="仿宋_GB2312"/>
          <w:color w:val="auto"/>
          <w:sz w:val="32"/>
          <w:szCs w:val="32"/>
          <w:highlight w:val="none"/>
        </w:rPr>
        <w:t>向区住房保障部门递交异地配建申请，明确异地配建</w:t>
      </w:r>
      <w:r>
        <w:rPr>
          <w:rFonts w:hint="eastAsia" w:ascii="仿宋_GB2312" w:hAnsi="仿宋_GB2312" w:eastAsia="仿宋_GB2312" w:cs="仿宋_GB2312"/>
          <w:color w:val="auto"/>
          <w:sz w:val="32"/>
          <w:szCs w:val="32"/>
          <w:highlight w:val="none"/>
          <w:lang w:val="en-US" w:eastAsia="zh-CN"/>
        </w:rPr>
        <w:t>比例、建筑面积及承诺完成异地配建时间（自原项目开工之日起计算，最长不超过3年）</w:t>
      </w:r>
      <w:r>
        <w:rPr>
          <w:rFonts w:hint="eastAsia" w:ascii="仿宋_GB2312" w:hAnsi="仿宋_GB2312" w:eastAsia="仿宋_GB2312" w:cs="仿宋_GB2312"/>
          <w:color w:val="auto"/>
          <w:sz w:val="32"/>
          <w:szCs w:val="32"/>
          <w:highlight w:val="none"/>
        </w:rPr>
        <w:t>等信息</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经</w:t>
      </w:r>
      <w:r>
        <w:rPr>
          <w:rFonts w:hint="eastAsia" w:ascii="仿宋_GB2312" w:hAnsi="仿宋_GB2312" w:eastAsia="仿宋_GB2312" w:cs="仿宋_GB2312"/>
          <w:color w:val="auto"/>
          <w:sz w:val="32"/>
          <w:szCs w:val="32"/>
          <w:highlight w:val="none"/>
        </w:rPr>
        <w:t>确认</w:t>
      </w:r>
      <w:r>
        <w:rPr>
          <w:rFonts w:hint="eastAsia" w:ascii="仿宋_GB2312" w:hAnsi="仿宋_GB2312" w:eastAsia="仿宋_GB2312" w:cs="仿宋_GB2312"/>
          <w:color w:val="auto"/>
          <w:sz w:val="32"/>
          <w:szCs w:val="32"/>
          <w:highlight w:val="none"/>
          <w:lang w:val="en-US" w:eastAsia="zh-CN"/>
        </w:rPr>
        <w:t>通过后，与区住房保障部门签订《保障性住房配建协议书》，具体</w:t>
      </w:r>
      <w:r>
        <w:rPr>
          <w:rFonts w:hint="eastAsia" w:ascii="仿宋_GB2312" w:hAnsi="仿宋_GB2312" w:eastAsia="仿宋_GB2312" w:cs="仿宋_GB2312"/>
          <w:color w:val="auto"/>
          <w:sz w:val="32"/>
          <w:szCs w:val="32"/>
          <w:highlight w:val="none"/>
        </w:rPr>
        <w:t>配建方式及相应义务以出让合同、配建协议约定为依据</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因开发建设单位原因未按约定开展异地配建的，按协议约定承担违约责任</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开发企业需</w:t>
      </w:r>
      <w:r>
        <w:rPr>
          <w:rFonts w:hint="eastAsia" w:ascii="仿宋_GB2312" w:hAnsi="仿宋_GB2312" w:eastAsia="仿宋_GB2312" w:cs="仿宋_GB2312"/>
          <w:color w:val="auto"/>
          <w:sz w:val="32"/>
          <w:szCs w:val="32"/>
          <w:highlight w:val="none"/>
          <w:lang w:val="en-US" w:eastAsia="zh-CN"/>
        </w:rPr>
        <w:t>缴纳与交费抵配建金额相等的费用至区财政局指定账户，待</w:t>
      </w:r>
      <w:r>
        <w:rPr>
          <w:rFonts w:hint="eastAsia" w:ascii="仿宋_GB2312" w:hAnsi="仿宋_GB2312" w:eastAsia="仿宋_GB2312" w:cs="仿宋_GB2312"/>
          <w:color w:val="auto"/>
          <w:sz w:val="32"/>
          <w:szCs w:val="32"/>
          <w:highlight w:val="none"/>
        </w:rPr>
        <w:t>异地配建保障性住房开工后30日内，由区住房和城乡建设局出具意见</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区财政局退还已缴费用，不计利息；</w:t>
      </w:r>
      <w:r>
        <w:rPr>
          <w:rFonts w:hint="eastAsia" w:ascii="仿宋_GB2312" w:hAnsi="仿宋_GB2312" w:eastAsia="仿宋_GB2312" w:cs="仿宋_GB2312"/>
          <w:color w:val="auto"/>
          <w:sz w:val="32"/>
          <w:szCs w:val="32"/>
          <w:highlight w:val="none"/>
          <w:lang w:val="en-US" w:eastAsia="zh-CN"/>
        </w:rPr>
        <w:t>如未按承诺时间开展异地配建的，该部分费用不予退回，</w:t>
      </w:r>
      <w:r>
        <w:rPr>
          <w:rFonts w:hint="eastAsia" w:ascii="仿宋_GB2312" w:hAnsi="仿宋_GB2312" w:eastAsia="仿宋_GB2312" w:cs="仿宋_GB2312"/>
          <w:color w:val="auto"/>
          <w:sz w:val="32"/>
          <w:szCs w:val="32"/>
          <w:highlight w:val="none"/>
        </w:rPr>
        <w:t>按第十三条纳入配建费管理并开具财政票据</w:t>
      </w:r>
      <w:r>
        <w:rPr>
          <w:rFonts w:hint="eastAsia" w:ascii="仿宋_GB2312" w:hAnsi="仿宋_GB2312" w:eastAsia="仿宋_GB2312" w:cs="仿宋_GB2312"/>
          <w:color w:val="auto"/>
          <w:sz w:val="32"/>
          <w:szCs w:val="32"/>
          <w:highlight w:val="none"/>
          <w:lang w:val="en-US" w:eastAsia="zh-CN"/>
        </w:rPr>
        <w:t>，视同企业交费抵配建完成保障性住房建设指标</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其中</w:t>
      </w:r>
      <w:r>
        <w:rPr>
          <w:rFonts w:hint="eastAsia" w:ascii="仿宋_GB2312" w:hAnsi="仿宋_GB2312" w:eastAsia="仿宋_GB2312" w:cs="仿宋_GB2312"/>
          <w:color w:val="auto"/>
          <w:sz w:val="32"/>
          <w:szCs w:val="32"/>
          <w:highlight w:val="none"/>
        </w:rPr>
        <w:t>因政府原因或不可抗力导致迟延的除外</w:t>
      </w:r>
      <w:r>
        <w:rPr>
          <w:rFonts w:hint="eastAsia" w:ascii="仿宋_GB2312" w:hAnsi="仿宋_GB2312" w:eastAsia="仿宋_GB2312" w:cs="仿宋_GB2312"/>
          <w:color w:val="auto"/>
          <w:sz w:val="32"/>
          <w:szCs w:val="32"/>
          <w:highlight w:val="none"/>
          <w:lang w:val="en-US" w:eastAsia="zh-CN"/>
        </w:rPr>
        <w:t>。</w:t>
      </w:r>
    </w:p>
    <w:p w14:paraId="54C20311">
      <w:pPr>
        <w:keepNext w:val="0"/>
        <w:keepLines w:val="0"/>
        <w:pageBreakBefore w:val="0"/>
        <w:widowControl w:val="0"/>
        <w:kinsoku/>
        <w:wordWrap/>
        <w:overflowPunct/>
        <w:topLinePunct w:val="0"/>
        <w:autoSpaceDE/>
        <w:autoSpaceDN/>
        <w:bidi w:val="0"/>
        <w:adjustRightInd/>
        <w:snapToGrid/>
        <w:spacing w:line="575" w:lineRule="exact"/>
        <w:ind w:firstLine="643" w:firstLineChars="200"/>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第十条</w:t>
      </w:r>
      <w:r>
        <w:rPr>
          <w:rFonts w:hint="eastAsia" w:ascii="仿宋_GB2312" w:hAnsi="仿宋_GB2312" w:eastAsia="仿宋_GB2312"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rPr>
        <w:t>新建商品房项目的开发建设单位，</w:t>
      </w:r>
      <w:r>
        <w:rPr>
          <w:rFonts w:hint="eastAsia" w:ascii="仿宋_GB2312" w:hAnsi="仿宋_GB2312" w:eastAsia="仿宋_GB2312" w:cs="仿宋_GB2312"/>
          <w:color w:val="auto"/>
          <w:sz w:val="32"/>
          <w:szCs w:val="32"/>
          <w:highlight w:val="none"/>
          <w:lang w:val="en-US" w:eastAsia="zh-CN"/>
        </w:rPr>
        <w:t>按照保障性住房交费抵配建的方式完成保障性住房建设指标的，需</w:t>
      </w:r>
      <w:r>
        <w:rPr>
          <w:rFonts w:hint="eastAsia" w:ascii="仿宋_GB2312" w:hAnsi="仿宋_GB2312" w:eastAsia="仿宋_GB2312" w:cs="仿宋_GB2312"/>
          <w:color w:val="auto"/>
          <w:sz w:val="32"/>
          <w:szCs w:val="32"/>
          <w:highlight w:val="none"/>
        </w:rPr>
        <w:t>向区住房保障部门递交</w:t>
      </w:r>
      <w:r>
        <w:rPr>
          <w:rFonts w:hint="eastAsia" w:ascii="仿宋_GB2312" w:hAnsi="仿宋_GB2312" w:eastAsia="仿宋_GB2312" w:cs="仿宋_GB2312"/>
          <w:color w:val="auto"/>
          <w:sz w:val="32"/>
          <w:szCs w:val="32"/>
          <w:highlight w:val="none"/>
          <w:lang w:val="en-US" w:eastAsia="zh-CN"/>
        </w:rPr>
        <w:t>保障性住房交费抵配建</w:t>
      </w:r>
      <w:r>
        <w:rPr>
          <w:rFonts w:hint="eastAsia" w:ascii="仿宋_GB2312" w:hAnsi="仿宋_GB2312" w:eastAsia="仿宋_GB2312" w:cs="仿宋_GB2312"/>
          <w:color w:val="auto"/>
          <w:sz w:val="32"/>
          <w:szCs w:val="32"/>
          <w:highlight w:val="none"/>
        </w:rPr>
        <w:t>申请</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经核定并确认应缴纳金额后，缴纳至区财政局指定账户。配建费需在拍得土地当年内缴纳完毕。</w:t>
      </w:r>
      <w:r>
        <w:rPr>
          <w:rFonts w:hint="eastAsia" w:ascii="仿宋_GB2312" w:hAnsi="仿宋_GB2312" w:eastAsia="仿宋_GB2312" w:cs="仿宋_GB2312"/>
          <w:color w:val="auto"/>
          <w:sz w:val="32"/>
          <w:szCs w:val="32"/>
          <w:highlight w:val="none"/>
        </w:rPr>
        <w:t>如未</w:t>
      </w:r>
      <w:r>
        <w:rPr>
          <w:rFonts w:hint="eastAsia" w:ascii="仿宋_GB2312" w:hAnsi="仿宋_GB2312" w:eastAsia="仿宋_GB2312" w:cs="仿宋_GB2312"/>
          <w:color w:val="auto"/>
          <w:sz w:val="32"/>
          <w:szCs w:val="32"/>
          <w:highlight w:val="none"/>
          <w:lang w:val="en-US" w:eastAsia="zh-CN"/>
        </w:rPr>
        <w:t>在当年内完成费用缴纳，经催告仍未缴纳的，由区住房保障部门按照配建协议及出让合同追究违约责任。</w:t>
      </w:r>
    </w:p>
    <w:p w14:paraId="37D82785">
      <w:pPr>
        <w:keepNext w:val="0"/>
        <w:keepLines w:val="0"/>
        <w:pageBreakBefore w:val="0"/>
        <w:widowControl w:val="0"/>
        <w:kinsoku/>
        <w:wordWrap/>
        <w:overflowPunct/>
        <w:topLinePunct w:val="0"/>
        <w:autoSpaceDE/>
        <w:autoSpaceDN/>
        <w:bidi w:val="0"/>
        <w:adjustRightInd/>
        <w:snapToGrid/>
        <w:spacing w:line="575" w:lineRule="exact"/>
        <w:ind w:firstLine="643"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第十一条</w:t>
      </w:r>
      <w:r>
        <w:rPr>
          <w:rFonts w:hint="eastAsia" w:ascii="仿宋_GB2312" w:hAnsi="仿宋_GB2312" w:eastAsia="仿宋_GB2312"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rPr>
        <w:t>新建商品房项目的开发建设单位，</w:t>
      </w:r>
      <w:r>
        <w:rPr>
          <w:rFonts w:hint="eastAsia" w:ascii="仿宋_GB2312" w:hAnsi="仿宋_GB2312" w:eastAsia="仿宋_GB2312" w:cs="仿宋_GB2312"/>
          <w:color w:val="auto"/>
          <w:sz w:val="32"/>
          <w:szCs w:val="32"/>
          <w:highlight w:val="none"/>
          <w:lang w:val="en-US" w:eastAsia="zh-CN"/>
        </w:rPr>
        <w:t>按照异地购买或提供的</w:t>
      </w:r>
      <w:r>
        <w:rPr>
          <w:rFonts w:hint="eastAsia" w:ascii="仿宋_GB2312" w:hAnsi="仿宋_GB2312" w:eastAsia="仿宋_GB2312" w:cs="仿宋_GB2312"/>
          <w:color w:val="auto"/>
          <w:sz w:val="32"/>
          <w:szCs w:val="32"/>
          <w:highlight w:val="none"/>
        </w:rPr>
        <w:t>成套住房</w:t>
      </w:r>
      <w:r>
        <w:rPr>
          <w:rFonts w:hint="eastAsia" w:ascii="仿宋_GB2312" w:hAnsi="仿宋_GB2312" w:eastAsia="仿宋_GB2312" w:cs="仿宋_GB2312"/>
          <w:color w:val="auto"/>
          <w:sz w:val="32"/>
          <w:szCs w:val="32"/>
          <w:highlight w:val="none"/>
          <w:lang w:val="en-US" w:eastAsia="zh-CN"/>
        </w:rPr>
        <w:t>的方式，完成保障性住房建设指标的，提供的成套住房应位于克拉玛依区本行政区域内。单套建筑面积原则上不超过120平方米，以中小户型为主；房源应相对集中，</w:t>
      </w:r>
      <w:r>
        <w:rPr>
          <w:rFonts w:hint="eastAsia" w:ascii="仿宋_GB2312" w:hAnsi="仿宋_GB2312" w:eastAsia="仿宋_GB2312" w:cs="仿宋_GB2312"/>
          <w:color w:val="auto"/>
          <w:sz w:val="32"/>
          <w:szCs w:val="32"/>
          <w:highlight w:val="none"/>
        </w:rPr>
        <w:t>购买或提供的成套住房</w:t>
      </w:r>
      <w:r>
        <w:rPr>
          <w:rFonts w:hint="eastAsia" w:ascii="仿宋_GB2312" w:hAnsi="仿宋_GB2312" w:eastAsia="仿宋_GB2312" w:cs="仿宋_GB2312"/>
          <w:color w:val="auto"/>
          <w:sz w:val="32"/>
          <w:szCs w:val="32"/>
          <w:highlight w:val="none"/>
          <w:lang w:val="en-US" w:eastAsia="zh-CN"/>
        </w:rPr>
        <w:t>房屋</w:t>
      </w:r>
      <w:r>
        <w:rPr>
          <w:rFonts w:hint="default" w:ascii="Times New Roman" w:hAnsi="Times New Roman" w:eastAsia="仿宋_GB2312" w:cs="Times New Roman"/>
          <w:color w:val="auto"/>
          <w:sz w:val="32"/>
          <w:szCs w:val="32"/>
          <w:highlight w:val="none"/>
        </w:rPr>
        <w:t>不动产权属证明</w:t>
      </w:r>
      <w:r>
        <w:rPr>
          <w:rFonts w:hint="eastAsia" w:ascii="Times New Roman" w:hAnsi="Times New Roman" w:eastAsia="仿宋_GB2312" w:cs="Times New Roman"/>
          <w:color w:val="auto"/>
          <w:sz w:val="32"/>
          <w:szCs w:val="32"/>
          <w:highlight w:val="none"/>
          <w:lang w:val="en-US" w:eastAsia="zh-CN"/>
        </w:rPr>
        <w:t>须</w:t>
      </w:r>
      <w:r>
        <w:rPr>
          <w:rFonts w:hint="default" w:ascii="Times New Roman" w:hAnsi="Times New Roman" w:eastAsia="仿宋_GB2312" w:cs="Times New Roman"/>
          <w:color w:val="auto"/>
          <w:sz w:val="32"/>
          <w:szCs w:val="32"/>
          <w:highlight w:val="none"/>
        </w:rPr>
        <w:t>齐全有效，无查封、冻结、抵押、共有纠纷、权属争议等权利限制情形</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无擅自改扩建、违法搭建、超占用地等违法建设行为</w:t>
      </w:r>
      <w:r>
        <w:rPr>
          <w:rFonts w:hint="eastAsia" w:ascii="仿宋_GB2312" w:hAnsi="仿宋_GB2312" w:eastAsia="仿宋_GB2312" w:cs="仿宋_GB2312"/>
          <w:color w:val="auto"/>
          <w:sz w:val="32"/>
          <w:szCs w:val="32"/>
          <w:highlight w:val="none"/>
          <w:lang w:val="en-US" w:eastAsia="zh-CN"/>
        </w:rPr>
        <w:t>。</w:t>
      </w:r>
    </w:p>
    <w:p w14:paraId="3F0BD813">
      <w:pPr>
        <w:keepNext w:val="0"/>
        <w:keepLines w:val="0"/>
        <w:pageBreakBefore w:val="0"/>
        <w:widowControl w:val="0"/>
        <w:kinsoku/>
        <w:wordWrap/>
        <w:overflowPunct/>
        <w:topLinePunct w:val="0"/>
        <w:autoSpaceDE/>
        <w:autoSpaceDN/>
        <w:bidi w:val="0"/>
        <w:adjustRightInd/>
        <w:snapToGrid/>
        <w:spacing w:line="575" w:lineRule="exact"/>
        <w:ind w:firstLine="643"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第十二条</w:t>
      </w:r>
      <w:r>
        <w:rPr>
          <w:rFonts w:hint="eastAsia" w:ascii="仿宋_GB2312" w:hAnsi="仿宋_GB2312" w:eastAsia="仿宋_GB2312" w:cs="仿宋_GB2312"/>
          <w:color w:val="auto"/>
          <w:sz w:val="32"/>
          <w:szCs w:val="32"/>
          <w:highlight w:val="none"/>
          <w:lang w:val="en-US" w:eastAsia="zh-CN"/>
        </w:rPr>
        <w:t xml:space="preserve">  开发建设单位通过原地配建、异地配建以及购买或提供的</w:t>
      </w:r>
      <w:r>
        <w:rPr>
          <w:rFonts w:hint="eastAsia" w:ascii="仿宋_GB2312" w:hAnsi="仿宋_GB2312" w:eastAsia="仿宋_GB2312" w:cs="仿宋_GB2312"/>
          <w:color w:val="auto"/>
          <w:sz w:val="32"/>
          <w:szCs w:val="32"/>
          <w:highlight w:val="none"/>
        </w:rPr>
        <w:t>成套住房</w:t>
      </w:r>
      <w:r>
        <w:rPr>
          <w:rFonts w:hint="eastAsia" w:ascii="仿宋_GB2312" w:hAnsi="仿宋_GB2312" w:eastAsia="仿宋_GB2312" w:cs="仿宋_GB2312"/>
          <w:color w:val="auto"/>
          <w:sz w:val="32"/>
          <w:szCs w:val="32"/>
          <w:highlight w:val="none"/>
          <w:lang w:val="en-US" w:eastAsia="zh-CN"/>
        </w:rPr>
        <w:t>的方式，完成保障性住房建设指标的，均需将完成建设、购买或提供的成套住房无偿移交至区政府指定机构。</w:t>
      </w:r>
    </w:p>
    <w:p w14:paraId="745C188E">
      <w:pPr>
        <w:keepNext w:val="0"/>
        <w:keepLines w:val="0"/>
        <w:pageBreakBefore w:val="0"/>
        <w:widowControl w:val="0"/>
        <w:kinsoku/>
        <w:wordWrap/>
        <w:overflowPunct/>
        <w:topLinePunct w:val="0"/>
        <w:autoSpaceDE/>
        <w:autoSpaceDN/>
        <w:bidi w:val="0"/>
        <w:adjustRightInd/>
        <w:snapToGrid/>
        <w:spacing w:line="575"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其中选择异地购买或提供的</w:t>
      </w:r>
      <w:r>
        <w:rPr>
          <w:rFonts w:hint="eastAsia" w:ascii="仿宋_GB2312" w:hAnsi="仿宋_GB2312" w:eastAsia="仿宋_GB2312" w:cs="仿宋_GB2312"/>
          <w:color w:val="auto"/>
          <w:sz w:val="32"/>
          <w:szCs w:val="32"/>
          <w:highlight w:val="none"/>
        </w:rPr>
        <w:t>成套住房</w:t>
      </w:r>
      <w:r>
        <w:rPr>
          <w:rFonts w:hint="eastAsia" w:ascii="仿宋_GB2312" w:hAnsi="仿宋_GB2312" w:eastAsia="仿宋_GB2312" w:cs="仿宋_GB2312"/>
          <w:color w:val="auto"/>
          <w:sz w:val="32"/>
          <w:szCs w:val="32"/>
          <w:highlight w:val="none"/>
          <w:lang w:val="en-US" w:eastAsia="zh-CN"/>
        </w:rPr>
        <w:t>方式的，完成购买后需向区住房保障部门提供申请及购买房屋明细，同时</w:t>
      </w:r>
      <w:r>
        <w:rPr>
          <w:rFonts w:ascii="Times New Roman" w:hAnsi="Times New Roman" w:eastAsia="仿宋_GB2312"/>
          <w:b w:val="0"/>
          <w:color w:val="auto"/>
          <w:sz w:val="32"/>
          <w:highlight w:val="none"/>
        </w:rPr>
        <w:t>与区政府指定机构签订《保障性住房移交确认书》</w:t>
      </w:r>
      <w:r>
        <w:rPr>
          <w:rFonts w:hint="eastAsia"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rPr>
        <w:t>完成异地购买或</w:t>
      </w:r>
      <w:r>
        <w:rPr>
          <w:rFonts w:hint="eastAsia" w:ascii="仿宋_GB2312" w:hAnsi="仿宋_GB2312" w:eastAsia="仿宋_GB2312" w:cs="仿宋_GB2312"/>
          <w:color w:val="auto"/>
          <w:sz w:val="32"/>
          <w:szCs w:val="32"/>
          <w:highlight w:val="none"/>
          <w:lang w:val="en-US" w:eastAsia="zh-CN"/>
        </w:rPr>
        <w:t>提供的成套住</w:t>
      </w:r>
      <w:r>
        <w:rPr>
          <w:rFonts w:hint="eastAsia" w:ascii="仿宋_GB2312" w:hAnsi="仿宋_GB2312" w:eastAsia="仿宋_GB2312" w:cs="仿宋_GB2312"/>
          <w:color w:val="auto"/>
          <w:sz w:val="32"/>
          <w:szCs w:val="32"/>
          <w:highlight w:val="none"/>
        </w:rPr>
        <w:t>房的不动产手续变更后，方可纳入保障性住房范畴。</w:t>
      </w:r>
      <w:r>
        <w:rPr>
          <w:rFonts w:hint="default" w:ascii="Times New Roman" w:hAnsi="Times New Roman" w:eastAsia="仿宋_GB2312"/>
          <w:b w:val="0"/>
          <w:color w:val="auto"/>
          <w:sz w:val="32"/>
          <w:highlight w:val="none"/>
          <w:lang w:val="en-US" w:eastAsia="zh-CN"/>
        </w:rPr>
        <w:t>将配建房源</w:t>
      </w:r>
      <w:r>
        <w:rPr>
          <w:rFonts w:hint="default" w:ascii="仿宋_GB2312" w:hAnsi="仿宋_GB2312" w:eastAsia="仿宋_GB2312" w:cs="仿宋_GB2312"/>
          <w:color w:val="auto"/>
          <w:sz w:val="32"/>
          <w:szCs w:val="32"/>
          <w:highlight w:val="none"/>
          <w:lang w:val="en-US" w:eastAsia="zh-CN"/>
        </w:rPr>
        <w:t>转移登记至区政府指定机构名下</w:t>
      </w:r>
      <w:r>
        <w:rPr>
          <w:rFonts w:hint="eastAsia" w:ascii="仿宋_GB2312" w:hAnsi="仿宋_GB2312" w:eastAsia="仿宋_GB2312" w:cs="仿宋_GB2312"/>
          <w:color w:val="auto"/>
          <w:sz w:val="32"/>
          <w:szCs w:val="32"/>
          <w:highlight w:val="none"/>
          <w:lang w:val="en-US" w:eastAsia="zh-CN"/>
        </w:rPr>
        <w:t>，</w:t>
      </w:r>
      <w:r>
        <w:rPr>
          <w:rFonts w:hint="default" w:ascii="仿宋_GB2312" w:hAnsi="仿宋_GB2312" w:eastAsia="仿宋_GB2312" w:cs="仿宋_GB2312"/>
          <w:color w:val="auto"/>
          <w:sz w:val="32"/>
          <w:szCs w:val="32"/>
          <w:highlight w:val="none"/>
          <w:lang w:val="en-US" w:eastAsia="zh-CN"/>
        </w:rPr>
        <w:t>移交环节</w:t>
      </w:r>
      <w:r>
        <w:rPr>
          <w:rFonts w:hint="eastAsia" w:ascii="仿宋_GB2312" w:hAnsi="仿宋_GB2312" w:eastAsia="仿宋_GB2312" w:cs="仿宋_GB2312"/>
          <w:color w:val="auto"/>
          <w:sz w:val="32"/>
          <w:szCs w:val="32"/>
          <w:highlight w:val="none"/>
          <w:lang w:val="en-US" w:eastAsia="zh-CN"/>
        </w:rPr>
        <w:t>产生</w:t>
      </w:r>
      <w:r>
        <w:rPr>
          <w:rFonts w:hint="default" w:ascii="仿宋_GB2312" w:hAnsi="仿宋_GB2312" w:eastAsia="仿宋_GB2312" w:cs="仿宋_GB2312"/>
          <w:color w:val="auto"/>
          <w:sz w:val="32"/>
          <w:szCs w:val="32"/>
          <w:highlight w:val="none"/>
          <w:lang w:val="en-US" w:eastAsia="zh-CN"/>
        </w:rPr>
        <w:t>的契税等税费，</w:t>
      </w:r>
      <w:r>
        <w:rPr>
          <w:rFonts w:hint="eastAsia" w:ascii="仿宋_GB2312" w:hAnsi="仿宋_GB2312" w:eastAsia="仿宋_GB2312" w:cs="仿宋_GB2312"/>
          <w:color w:val="auto"/>
          <w:sz w:val="32"/>
          <w:szCs w:val="32"/>
          <w:highlight w:val="none"/>
        </w:rPr>
        <w:t>依法应当由承受方缴纳的税费，由区政府指定机构缴纳，</w:t>
      </w:r>
      <w:r>
        <w:rPr>
          <w:rFonts w:hint="eastAsia" w:ascii="仿宋_GB2312" w:hAnsi="仿宋_GB2312" w:eastAsia="仿宋_GB2312" w:cs="仿宋_GB2312"/>
          <w:color w:val="auto"/>
          <w:sz w:val="32"/>
          <w:szCs w:val="32"/>
          <w:highlight w:val="none"/>
          <w:lang w:val="en-US" w:eastAsia="zh-CN"/>
        </w:rPr>
        <w:t>具体以</w:t>
      </w:r>
      <w:r>
        <w:rPr>
          <w:rFonts w:hint="eastAsia" w:ascii="仿宋_GB2312" w:hAnsi="仿宋_GB2312" w:eastAsia="仿宋_GB2312" w:cs="仿宋_GB2312"/>
          <w:color w:val="auto"/>
          <w:sz w:val="32"/>
          <w:szCs w:val="32"/>
          <w:highlight w:val="none"/>
        </w:rPr>
        <w:t>双方</w:t>
      </w:r>
      <w:r>
        <w:rPr>
          <w:rFonts w:hint="eastAsia" w:ascii="仿宋_GB2312" w:hAnsi="仿宋_GB2312" w:eastAsia="仿宋_GB2312" w:cs="仿宋_GB2312"/>
          <w:color w:val="auto"/>
          <w:sz w:val="32"/>
          <w:szCs w:val="32"/>
          <w:highlight w:val="none"/>
          <w:lang w:val="en-US" w:eastAsia="zh-CN"/>
        </w:rPr>
        <w:t>在</w:t>
      </w:r>
      <w:r>
        <w:rPr>
          <w:rFonts w:hint="eastAsia" w:ascii="仿宋_GB2312" w:hAnsi="仿宋_GB2312" w:eastAsia="仿宋_GB2312" w:cs="仿宋_GB2312"/>
          <w:color w:val="auto"/>
          <w:sz w:val="32"/>
          <w:szCs w:val="32"/>
          <w:highlight w:val="none"/>
        </w:rPr>
        <w:t>协议中约定</w:t>
      </w:r>
      <w:r>
        <w:rPr>
          <w:rFonts w:hint="eastAsia" w:ascii="仿宋_GB2312" w:hAnsi="仿宋_GB2312" w:eastAsia="仿宋_GB2312" w:cs="仿宋_GB2312"/>
          <w:color w:val="auto"/>
          <w:sz w:val="32"/>
          <w:szCs w:val="32"/>
          <w:highlight w:val="none"/>
          <w:lang w:eastAsia="zh-CN"/>
        </w:rPr>
        <w:t>的实际</w:t>
      </w:r>
      <w:r>
        <w:rPr>
          <w:rFonts w:hint="eastAsia" w:ascii="仿宋_GB2312" w:hAnsi="仿宋_GB2312" w:eastAsia="仿宋_GB2312" w:cs="仿宋_GB2312"/>
          <w:color w:val="auto"/>
          <w:sz w:val="32"/>
          <w:szCs w:val="32"/>
          <w:highlight w:val="none"/>
        </w:rPr>
        <w:t>负担方式</w:t>
      </w:r>
      <w:r>
        <w:rPr>
          <w:rFonts w:hint="eastAsia" w:ascii="仿宋_GB2312" w:hAnsi="仿宋_GB2312" w:eastAsia="仿宋_GB2312" w:cs="仿宋_GB2312"/>
          <w:color w:val="auto"/>
          <w:sz w:val="32"/>
          <w:szCs w:val="32"/>
          <w:highlight w:val="none"/>
          <w:lang w:val="en-US" w:eastAsia="zh-CN"/>
        </w:rPr>
        <w:t>为主</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其中</w:t>
      </w:r>
      <w:r>
        <w:rPr>
          <w:rFonts w:hint="eastAsia" w:ascii="仿宋_GB2312" w:hAnsi="仿宋_GB2312" w:eastAsia="仿宋_GB2312" w:cs="仿宋_GB2312"/>
          <w:color w:val="auto"/>
          <w:sz w:val="32"/>
          <w:szCs w:val="32"/>
          <w:highlight w:val="none"/>
        </w:rPr>
        <w:t>负担约定不得对抗税务机关依法征收</w:t>
      </w:r>
      <w:r>
        <w:rPr>
          <w:rFonts w:hint="eastAsia" w:ascii="仿宋_GB2312" w:hAnsi="仿宋_GB2312" w:eastAsia="仿宋_GB2312" w:cs="仿宋_GB2312"/>
          <w:color w:val="auto"/>
          <w:sz w:val="32"/>
          <w:szCs w:val="32"/>
          <w:highlight w:val="none"/>
          <w:lang w:val="en-US" w:eastAsia="zh-CN"/>
        </w:rPr>
        <w:t>。</w:t>
      </w:r>
    </w:p>
    <w:p w14:paraId="7FC4B7EB">
      <w:pPr>
        <w:keepNext w:val="0"/>
        <w:keepLines w:val="0"/>
        <w:pageBreakBefore w:val="0"/>
        <w:widowControl/>
        <w:kinsoku/>
        <w:wordWrap/>
        <w:overflowPunct/>
        <w:topLinePunct w:val="0"/>
        <w:autoSpaceDE/>
        <w:autoSpaceDN/>
        <w:bidi w:val="0"/>
        <w:adjustRightInd/>
        <w:snapToGrid/>
        <w:spacing w:before="0" w:after="0" w:line="560" w:lineRule="exact"/>
        <w:ind w:firstLine="640" w:firstLineChars="200"/>
        <w:jc w:val="both"/>
        <w:textAlignment w:val="auto"/>
        <w:rPr>
          <w:rFonts w:hint="default" w:eastAsia="仿宋_GB2312"/>
          <w:color w:val="auto"/>
          <w:highlight w:val="none"/>
          <w:lang w:val="en-US" w:eastAsia="zh-CN"/>
        </w:rPr>
      </w:pPr>
      <w:r>
        <w:rPr>
          <w:rFonts w:hint="eastAsia" w:ascii="仿宋_GB2312" w:hAnsi="仿宋_GB2312" w:eastAsia="仿宋_GB2312" w:cs="仿宋_GB2312"/>
          <w:color w:val="auto"/>
          <w:sz w:val="32"/>
          <w:szCs w:val="32"/>
          <w:highlight w:val="none"/>
          <w:lang w:val="en-US" w:eastAsia="zh-CN"/>
        </w:rPr>
        <w:t>选择原地配建及异地配建方式的，按照以下步骤进行移交：</w:t>
      </w:r>
    </w:p>
    <w:p w14:paraId="7529D74B">
      <w:pPr>
        <w:keepNext w:val="0"/>
        <w:keepLines w:val="0"/>
        <w:pageBreakBefore w:val="0"/>
        <w:widowControl/>
        <w:numPr>
          <w:ilvl w:val="0"/>
          <w:numId w:val="1"/>
        </w:numPr>
        <w:kinsoku/>
        <w:wordWrap/>
        <w:overflowPunct/>
        <w:topLinePunct w:val="0"/>
        <w:autoSpaceDE/>
        <w:autoSpaceDN/>
        <w:bidi w:val="0"/>
        <w:adjustRightInd/>
        <w:snapToGrid/>
        <w:spacing w:before="0" w:after="0" w:line="560" w:lineRule="exact"/>
        <w:ind w:left="200" w:leftChars="0" w:firstLine="640" w:firstLineChars="0"/>
        <w:jc w:val="both"/>
        <w:textAlignment w:val="auto"/>
        <w:rPr>
          <w:rFonts w:hint="default" w:eastAsia="仿宋_GB2312"/>
          <w:color w:val="auto"/>
          <w:highlight w:val="none"/>
          <w:lang w:val="en-US" w:eastAsia="zh-CN"/>
        </w:rPr>
      </w:pPr>
      <w:r>
        <w:rPr>
          <w:rFonts w:hint="eastAsia" w:ascii="仿宋_GB2312" w:hAnsi="仿宋_GB2312" w:eastAsia="仿宋_GB2312" w:cs="仿宋_GB2312"/>
          <w:color w:val="auto"/>
          <w:sz w:val="32"/>
          <w:szCs w:val="32"/>
          <w:highlight w:val="none"/>
          <w:lang w:val="en-US" w:eastAsia="zh-CN"/>
        </w:rPr>
        <w:t>在取得建设工程规划许可证之前，根据国有建设用地使用权出让合同、经批准的设计方案，与区政府指定机构签订《保障性住房配建协议书》，明确配建保障房的总体要求、房源位置图表及房号清单、建筑面积、装修标准、交付条件与交付时限、逾期移交违约规定、移交环节税费承担主体等事项，如有特殊情况的，可增加附页予以说明。签订完成后，向区住房保障部门备案。</w:t>
      </w:r>
    </w:p>
    <w:p w14:paraId="699859F0">
      <w:pPr>
        <w:keepNext w:val="0"/>
        <w:keepLines w:val="0"/>
        <w:pageBreakBefore w:val="0"/>
        <w:widowControl/>
        <w:numPr>
          <w:ilvl w:val="0"/>
          <w:numId w:val="1"/>
        </w:numPr>
        <w:kinsoku/>
        <w:wordWrap/>
        <w:overflowPunct/>
        <w:topLinePunct w:val="0"/>
        <w:autoSpaceDE/>
        <w:autoSpaceDN/>
        <w:bidi w:val="0"/>
        <w:adjustRightInd/>
        <w:snapToGrid/>
        <w:spacing w:before="0" w:after="0" w:line="560" w:lineRule="exact"/>
        <w:ind w:left="200" w:leftChars="0" w:firstLine="640" w:firstLineChars="0"/>
        <w:jc w:val="both"/>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保障性配套建设开发企业应自觉接受区建设管理部门对配建保障房房源的工程质量监督管理及相关监督检查。</w:t>
      </w:r>
    </w:p>
    <w:p w14:paraId="7D7A7654">
      <w:pPr>
        <w:keepNext w:val="0"/>
        <w:keepLines w:val="0"/>
        <w:pageBreakBefore w:val="0"/>
        <w:widowControl/>
        <w:numPr>
          <w:ilvl w:val="0"/>
          <w:numId w:val="1"/>
        </w:numPr>
        <w:kinsoku/>
        <w:wordWrap/>
        <w:overflowPunct/>
        <w:topLinePunct w:val="0"/>
        <w:autoSpaceDE/>
        <w:autoSpaceDN/>
        <w:bidi w:val="0"/>
        <w:adjustRightInd/>
        <w:snapToGrid/>
        <w:spacing w:before="0" w:after="0" w:line="560" w:lineRule="exact"/>
        <w:ind w:left="200" w:leftChars="0" w:firstLine="640" w:firstLineChars="0"/>
        <w:jc w:val="both"/>
        <w:textAlignment w:val="auto"/>
        <w:rPr>
          <w:rFonts w:hint="default" w:eastAsia="仿宋_GB2312"/>
          <w:color w:val="auto"/>
          <w:highlight w:val="none"/>
          <w:lang w:val="en-US" w:eastAsia="zh-CN"/>
        </w:rPr>
      </w:pPr>
      <w:r>
        <w:rPr>
          <w:rFonts w:ascii="Times New Roman" w:hAnsi="Times New Roman" w:eastAsia="仿宋_GB2312"/>
          <w:b w:val="0"/>
          <w:color w:val="auto"/>
          <w:sz w:val="32"/>
          <w:highlight w:val="none"/>
        </w:rPr>
        <w:t>竣工验收阶段由区住房保障部门参与联合验收，核查实测面积、户型与建设</w:t>
      </w:r>
      <w:r>
        <w:rPr>
          <w:rFonts w:hint="eastAsia" w:ascii="Times New Roman" w:hAnsi="Times New Roman" w:eastAsia="仿宋_GB2312"/>
          <w:b w:val="0"/>
          <w:color w:val="auto"/>
          <w:sz w:val="32"/>
          <w:highlight w:val="none"/>
          <w:lang w:val="en-US" w:eastAsia="zh-CN"/>
        </w:rPr>
        <w:t>情况</w:t>
      </w:r>
      <w:r>
        <w:rPr>
          <w:rFonts w:ascii="Times New Roman" w:hAnsi="Times New Roman" w:eastAsia="仿宋_GB2312"/>
          <w:b w:val="0"/>
          <w:color w:val="auto"/>
          <w:sz w:val="32"/>
          <w:highlight w:val="none"/>
        </w:rPr>
        <w:t>、装修</w:t>
      </w:r>
      <w:r>
        <w:rPr>
          <w:rFonts w:hint="eastAsia" w:ascii="Times New Roman" w:hAnsi="Times New Roman" w:eastAsia="仿宋_GB2312"/>
          <w:b w:val="0"/>
          <w:color w:val="auto"/>
          <w:sz w:val="32"/>
          <w:highlight w:val="none"/>
          <w:lang w:val="en-US" w:eastAsia="zh-CN"/>
        </w:rPr>
        <w:t>情况</w:t>
      </w:r>
      <w:r>
        <w:rPr>
          <w:rFonts w:ascii="Times New Roman" w:hAnsi="Times New Roman" w:eastAsia="仿宋_GB2312"/>
          <w:b w:val="0"/>
          <w:color w:val="auto"/>
          <w:sz w:val="32"/>
          <w:highlight w:val="none"/>
        </w:rPr>
        <w:t>、配套设施、质量验收文件。配建房源验收不合格的，</w:t>
      </w:r>
      <w:r>
        <w:rPr>
          <w:rFonts w:hint="eastAsia" w:ascii="Times New Roman" w:hAnsi="Times New Roman" w:eastAsia="仿宋_GB2312"/>
          <w:b w:val="0"/>
          <w:color w:val="auto"/>
          <w:sz w:val="32"/>
          <w:highlight w:val="none"/>
          <w:lang w:val="en-US" w:eastAsia="zh-CN"/>
        </w:rPr>
        <w:t>不予通过竣工联合验收，应在规定时间内完成整改。</w:t>
      </w:r>
    </w:p>
    <w:p w14:paraId="166BDC00">
      <w:pPr>
        <w:keepNext w:val="0"/>
        <w:keepLines w:val="0"/>
        <w:pageBreakBefore w:val="0"/>
        <w:widowControl/>
        <w:numPr>
          <w:ilvl w:val="0"/>
          <w:numId w:val="1"/>
        </w:numPr>
        <w:kinsoku/>
        <w:wordWrap/>
        <w:overflowPunct/>
        <w:topLinePunct w:val="0"/>
        <w:autoSpaceDE/>
        <w:autoSpaceDN/>
        <w:bidi w:val="0"/>
        <w:adjustRightInd/>
        <w:snapToGrid/>
        <w:spacing w:before="0" w:after="0" w:line="560" w:lineRule="exact"/>
        <w:ind w:left="200" w:leftChars="0" w:firstLine="640" w:firstLineChars="0"/>
        <w:jc w:val="both"/>
        <w:textAlignment w:val="auto"/>
        <w:rPr>
          <w:rFonts w:hint="eastAsia" w:ascii="黑体" w:hAnsi="黑体" w:eastAsia="黑体" w:cs="黑体"/>
          <w:color w:val="auto"/>
          <w:sz w:val="32"/>
          <w:szCs w:val="32"/>
          <w:highlight w:val="none"/>
          <w:lang w:val="en-US" w:eastAsia="zh-CN"/>
        </w:rPr>
      </w:pPr>
      <w:r>
        <w:rPr>
          <w:rFonts w:ascii="Times New Roman" w:hAnsi="Times New Roman" w:eastAsia="仿宋_GB2312"/>
          <w:b w:val="0"/>
          <w:color w:val="auto"/>
          <w:sz w:val="32"/>
          <w:highlight w:val="none"/>
        </w:rPr>
        <w:t>竣工联合验收合格后60日内，开发企业与区政府指定机构签订《保障性住房移交确认书》，移交房屋实体、钥匙、竣工图纸、《住宅质量保证书》《住宅使用说明书</w:t>
      </w:r>
      <w:r>
        <w:rPr>
          <w:rFonts w:hint="eastAsia" w:ascii="Times New Roman" w:hAnsi="Times New Roman" w:eastAsia="仿宋_GB2312"/>
          <w:b w:val="0"/>
          <w:color w:val="auto"/>
          <w:sz w:val="32"/>
          <w:highlight w:val="none"/>
          <w:lang w:eastAsia="zh-CN"/>
        </w:rPr>
        <w:t>》</w:t>
      </w:r>
      <w:r>
        <w:rPr>
          <w:rFonts w:ascii="Times New Roman" w:hAnsi="Times New Roman" w:eastAsia="仿宋_GB2312"/>
          <w:b w:val="0"/>
          <w:color w:val="auto"/>
          <w:sz w:val="32"/>
          <w:highlight w:val="none"/>
        </w:rPr>
        <w:t>，并附移交清单</w:t>
      </w:r>
      <w:r>
        <w:rPr>
          <w:rFonts w:hint="eastAsia" w:ascii="Times New Roman" w:hAnsi="Times New Roman" w:eastAsia="仿宋_GB2312"/>
          <w:b w:val="0"/>
          <w:color w:val="auto"/>
          <w:sz w:val="32"/>
          <w:highlight w:val="none"/>
          <w:lang w:eastAsia="zh-CN"/>
        </w:rPr>
        <w:t>，双方</w:t>
      </w:r>
      <w:r>
        <w:rPr>
          <w:rFonts w:ascii="Times New Roman" w:hAnsi="Times New Roman" w:eastAsia="仿宋_GB2312"/>
          <w:b w:val="0"/>
          <w:color w:val="auto"/>
          <w:sz w:val="32"/>
          <w:highlight w:val="none"/>
        </w:rPr>
        <w:t>签收</w:t>
      </w:r>
      <w:r>
        <w:rPr>
          <w:rFonts w:hint="eastAsia" w:ascii="Times New Roman" w:hAnsi="Times New Roman" w:eastAsia="仿宋_GB2312"/>
          <w:b w:val="0"/>
          <w:color w:val="auto"/>
          <w:sz w:val="32"/>
          <w:highlight w:val="none"/>
          <w:lang w:eastAsia="zh-CN"/>
        </w:rPr>
        <w:t>；</w:t>
      </w:r>
    </w:p>
    <w:p w14:paraId="2C3341CA">
      <w:pPr>
        <w:keepNext w:val="0"/>
        <w:keepLines w:val="0"/>
        <w:pageBreakBefore w:val="0"/>
        <w:widowControl/>
        <w:numPr>
          <w:ilvl w:val="0"/>
          <w:numId w:val="1"/>
        </w:numPr>
        <w:kinsoku/>
        <w:wordWrap/>
        <w:overflowPunct/>
        <w:topLinePunct w:val="0"/>
        <w:autoSpaceDE/>
        <w:autoSpaceDN/>
        <w:bidi w:val="0"/>
        <w:adjustRightInd/>
        <w:snapToGrid/>
        <w:spacing w:before="0" w:after="0" w:line="560" w:lineRule="exact"/>
        <w:ind w:left="200" w:leftChars="0" w:firstLine="640" w:firstLineChars="0"/>
        <w:jc w:val="both"/>
        <w:textAlignment w:val="auto"/>
        <w:rPr>
          <w:rFonts w:hint="eastAsia" w:ascii="黑体" w:hAnsi="黑体" w:eastAsia="黑体" w:cs="黑体"/>
          <w:color w:val="auto"/>
          <w:sz w:val="32"/>
          <w:szCs w:val="32"/>
          <w:highlight w:val="none"/>
          <w:lang w:val="en-US" w:eastAsia="zh-CN"/>
        </w:rPr>
      </w:pPr>
      <w:r>
        <w:rPr>
          <w:rFonts w:hint="default" w:ascii="Times New Roman" w:hAnsi="Times New Roman" w:eastAsia="仿宋_GB2312"/>
          <w:b w:val="0"/>
          <w:color w:val="auto"/>
          <w:sz w:val="32"/>
          <w:highlight w:val="none"/>
          <w:lang w:val="en-US" w:eastAsia="zh-CN"/>
        </w:rPr>
        <w:t>开发企业完成首次登记后，凭</w:t>
      </w:r>
      <w:r>
        <w:rPr>
          <w:rFonts w:ascii="Times New Roman" w:hAnsi="Times New Roman" w:eastAsia="仿宋_GB2312"/>
          <w:b w:val="0"/>
          <w:color w:val="auto"/>
          <w:sz w:val="32"/>
          <w:highlight w:val="none"/>
        </w:rPr>
        <w:t>《保障性住房移交确认书》</w:t>
      </w:r>
      <w:r>
        <w:rPr>
          <w:rFonts w:hint="default" w:ascii="Times New Roman" w:hAnsi="Times New Roman" w:eastAsia="仿宋_GB2312"/>
          <w:b w:val="0"/>
          <w:color w:val="auto"/>
          <w:sz w:val="32"/>
          <w:highlight w:val="none"/>
          <w:lang w:val="en-US" w:eastAsia="zh-CN"/>
        </w:rPr>
        <w:t>将配建房源转移登记至区政府指定机构名下。移交环节</w:t>
      </w:r>
      <w:r>
        <w:rPr>
          <w:rFonts w:hint="eastAsia" w:ascii="Times New Roman" w:hAnsi="Times New Roman" w:eastAsia="仿宋_GB2312"/>
          <w:b w:val="0"/>
          <w:color w:val="auto"/>
          <w:sz w:val="32"/>
          <w:highlight w:val="none"/>
          <w:lang w:val="en-US" w:eastAsia="zh-CN"/>
        </w:rPr>
        <w:t>产生</w:t>
      </w:r>
      <w:r>
        <w:rPr>
          <w:rFonts w:hint="default" w:ascii="Times New Roman" w:hAnsi="Times New Roman" w:eastAsia="仿宋_GB2312"/>
          <w:b w:val="0"/>
          <w:color w:val="auto"/>
          <w:sz w:val="32"/>
          <w:highlight w:val="none"/>
          <w:lang w:val="en-US" w:eastAsia="zh-CN"/>
        </w:rPr>
        <w:t>的契税等税费，由开发企业承担</w:t>
      </w:r>
      <w:r>
        <w:rPr>
          <w:rFonts w:hint="eastAsia" w:ascii="Times New Roman" w:hAnsi="Times New Roman" w:eastAsia="仿宋_GB2312"/>
          <w:b w:val="0"/>
          <w:color w:val="auto"/>
          <w:sz w:val="32"/>
          <w:highlight w:val="none"/>
          <w:lang w:val="en-US" w:eastAsia="zh-CN"/>
        </w:rPr>
        <w:t>；</w:t>
      </w:r>
    </w:p>
    <w:p w14:paraId="370D5BF1">
      <w:pPr>
        <w:keepNext w:val="0"/>
        <w:keepLines w:val="0"/>
        <w:pageBreakBefore w:val="0"/>
        <w:widowControl/>
        <w:numPr>
          <w:ilvl w:val="0"/>
          <w:numId w:val="1"/>
        </w:numPr>
        <w:kinsoku/>
        <w:wordWrap/>
        <w:overflowPunct/>
        <w:topLinePunct w:val="0"/>
        <w:autoSpaceDE/>
        <w:autoSpaceDN/>
        <w:bidi w:val="0"/>
        <w:adjustRightInd/>
        <w:snapToGrid/>
        <w:spacing w:before="0" w:after="0" w:line="560" w:lineRule="exact"/>
        <w:ind w:left="200" w:leftChars="0" w:firstLine="640" w:firstLineChars="0"/>
        <w:jc w:val="both"/>
        <w:textAlignment w:val="auto"/>
        <w:rPr>
          <w:rFonts w:hint="eastAsia" w:ascii="黑体" w:hAnsi="黑体" w:eastAsia="黑体" w:cs="黑体"/>
          <w:color w:val="auto"/>
          <w:sz w:val="32"/>
          <w:szCs w:val="32"/>
          <w:highlight w:val="none"/>
          <w:lang w:val="en-US" w:eastAsia="zh-CN"/>
        </w:rPr>
      </w:pPr>
      <w:r>
        <w:rPr>
          <w:rFonts w:ascii="Times New Roman" w:hAnsi="Times New Roman" w:eastAsia="仿宋_GB2312"/>
          <w:b w:val="0"/>
          <w:color w:val="auto"/>
          <w:sz w:val="32"/>
          <w:highlight w:val="none"/>
        </w:rPr>
        <w:t>移交房源</w:t>
      </w:r>
      <w:r>
        <w:rPr>
          <w:rFonts w:hint="eastAsia" w:ascii="Times New Roman" w:hAnsi="Times New Roman" w:eastAsia="仿宋_GB2312"/>
          <w:b w:val="0"/>
          <w:color w:val="auto"/>
          <w:sz w:val="32"/>
          <w:highlight w:val="none"/>
          <w:lang w:val="en-US" w:eastAsia="zh-CN"/>
        </w:rPr>
        <w:t>由区住房保障部门统一进行登记，</w:t>
      </w:r>
      <w:r>
        <w:rPr>
          <w:rFonts w:ascii="Times New Roman" w:hAnsi="Times New Roman" w:eastAsia="仿宋_GB2312"/>
          <w:b w:val="0"/>
          <w:color w:val="auto"/>
          <w:sz w:val="32"/>
          <w:highlight w:val="none"/>
        </w:rPr>
        <w:t>纳入</w:t>
      </w:r>
      <w:r>
        <w:rPr>
          <w:rFonts w:hint="eastAsia" w:ascii="Times New Roman" w:hAnsi="Times New Roman" w:eastAsia="仿宋_GB2312"/>
          <w:b w:val="0"/>
          <w:color w:val="auto"/>
          <w:sz w:val="32"/>
          <w:highlight w:val="none"/>
          <w:lang w:val="en-US" w:eastAsia="zh-CN"/>
        </w:rPr>
        <w:t>保障性住房范畴，按照相关规定进行管理</w:t>
      </w:r>
      <w:r>
        <w:rPr>
          <w:rFonts w:hint="eastAsia" w:ascii="Times New Roman" w:hAnsi="Times New Roman" w:eastAsia="仿宋_GB2312"/>
          <w:b w:val="0"/>
          <w:color w:val="auto"/>
          <w:sz w:val="32"/>
          <w:highlight w:val="none"/>
          <w:lang w:eastAsia="zh-CN"/>
        </w:rPr>
        <w:t>。</w:t>
      </w:r>
    </w:p>
    <w:p w14:paraId="0383C534">
      <w:pPr>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ind w:left="840" w:leftChars="0"/>
        <w:jc w:val="both"/>
        <w:textAlignment w:val="auto"/>
        <w:rPr>
          <w:rFonts w:hint="eastAsia" w:ascii="黑体" w:hAnsi="黑体" w:eastAsia="黑体" w:cs="黑体"/>
          <w:color w:val="auto"/>
          <w:sz w:val="32"/>
          <w:szCs w:val="32"/>
          <w:highlight w:val="none"/>
          <w:lang w:val="en-US" w:eastAsia="zh-CN"/>
        </w:rPr>
      </w:pPr>
    </w:p>
    <w:p w14:paraId="7225D418">
      <w:pPr>
        <w:keepNext w:val="0"/>
        <w:keepLines w:val="0"/>
        <w:pageBreakBefore w:val="0"/>
        <w:widowControl w:val="0"/>
        <w:kinsoku/>
        <w:wordWrap/>
        <w:overflowPunct/>
        <w:topLinePunct w:val="0"/>
        <w:autoSpaceDE/>
        <w:autoSpaceDN/>
        <w:bidi w:val="0"/>
        <w:adjustRightInd/>
        <w:snapToGrid/>
        <w:spacing w:line="575" w:lineRule="exact"/>
        <w:jc w:val="center"/>
        <w:textAlignment w:val="auto"/>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lang w:val="en-US" w:eastAsia="zh-CN"/>
        </w:rPr>
        <w:t xml:space="preserve">第四章 </w:t>
      </w:r>
      <w:r>
        <w:rPr>
          <w:rFonts w:hint="eastAsia" w:ascii="黑体" w:hAnsi="黑体" w:eastAsia="黑体" w:cs="黑体"/>
          <w:color w:val="auto"/>
          <w:sz w:val="32"/>
          <w:szCs w:val="32"/>
          <w:highlight w:val="none"/>
        </w:rPr>
        <w:t>配建费资金的管理</w:t>
      </w:r>
    </w:p>
    <w:p w14:paraId="27E9FD22">
      <w:pPr>
        <w:keepNext w:val="0"/>
        <w:keepLines w:val="0"/>
        <w:pageBreakBefore w:val="0"/>
        <w:widowControl w:val="0"/>
        <w:kinsoku/>
        <w:wordWrap/>
        <w:overflowPunct/>
        <w:topLinePunct w:val="0"/>
        <w:autoSpaceDE/>
        <w:autoSpaceDN/>
        <w:bidi w:val="0"/>
        <w:adjustRightInd/>
        <w:snapToGrid/>
        <w:spacing w:line="575" w:lineRule="exact"/>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lang w:val="en-US" w:eastAsia="zh-CN"/>
        </w:rPr>
        <w:t xml:space="preserve"> </w:t>
      </w:r>
      <w:r>
        <w:rPr>
          <w:rFonts w:hint="eastAsia" w:ascii="仿宋_GB2312" w:hAnsi="仿宋_GB2312" w:eastAsia="仿宋_GB2312" w:cs="仿宋_GB2312"/>
          <w:b/>
          <w:bCs/>
          <w:color w:val="auto"/>
          <w:sz w:val="32"/>
          <w:szCs w:val="32"/>
          <w:highlight w:val="none"/>
          <w:lang w:val="en-US" w:eastAsia="zh-CN"/>
        </w:rPr>
        <w:t>第十三条</w:t>
      </w:r>
      <w:r>
        <w:rPr>
          <w:rFonts w:hint="eastAsia" w:ascii="仿宋_GB2312" w:hAnsi="仿宋_GB2312" w:eastAsia="仿宋_GB2312"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rPr>
        <w:t>保障性住房交费抵配建的，配建费应缴纳至区财政</w:t>
      </w:r>
      <w:r>
        <w:rPr>
          <w:rFonts w:hint="eastAsia" w:ascii="仿宋_GB2312" w:hAnsi="仿宋_GB2312" w:eastAsia="仿宋_GB2312" w:cs="仿宋_GB2312"/>
          <w:color w:val="auto"/>
          <w:sz w:val="32"/>
          <w:szCs w:val="32"/>
          <w:highlight w:val="none"/>
          <w:lang w:val="en-US" w:eastAsia="zh-CN"/>
        </w:rPr>
        <w:t>指定账户，</w:t>
      </w:r>
      <w:r>
        <w:rPr>
          <w:rFonts w:hint="eastAsia" w:ascii="仿宋_GB2312" w:hAnsi="仿宋_GB2312" w:eastAsia="仿宋_GB2312" w:cs="仿宋_GB2312"/>
          <w:color w:val="auto"/>
          <w:sz w:val="32"/>
          <w:szCs w:val="32"/>
          <w:highlight w:val="none"/>
        </w:rPr>
        <w:t>实行专账核算，专款专用。</w:t>
      </w:r>
      <w:r>
        <w:rPr>
          <w:rFonts w:hint="eastAsia" w:ascii="仿宋_GB2312" w:hAnsi="仿宋_GB2312" w:eastAsia="仿宋_GB2312" w:cs="仿宋_GB2312"/>
          <w:color w:val="auto"/>
          <w:sz w:val="32"/>
          <w:szCs w:val="32"/>
          <w:highlight w:val="none"/>
          <w:lang w:val="en-US" w:eastAsia="zh-CN"/>
        </w:rPr>
        <w:t>配建费</w:t>
      </w:r>
      <w:r>
        <w:rPr>
          <w:rFonts w:hint="eastAsia" w:ascii="仿宋_GB2312" w:hAnsi="仿宋_GB2312" w:eastAsia="仿宋_GB2312" w:cs="仿宋_GB2312"/>
          <w:color w:val="auto"/>
          <w:sz w:val="32"/>
          <w:szCs w:val="32"/>
          <w:highlight w:val="none"/>
        </w:rPr>
        <w:t>专项用于政府新建保障性住房、</w:t>
      </w:r>
      <w:r>
        <w:rPr>
          <w:rFonts w:hint="eastAsia" w:ascii="仿宋_GB2312" w:hAnsi="仿宋_GB2312" w:eastAsia="仿宋_GB2312" w:cs="仿宋_GB2312"/>
          <w:color w:val="auto"/>
          <w:sz w:val="32"/>
          <w:szCs w:val="32"/>
          <w:highlight w:val="none"/>
          <w:lang w:val="en-US" w:eastAsia="zh-CN"/>
        </w:rPr>
        <w:t>保障性住房维修改造及</w:t>
      </w:r>
      <w:r>
        <w:rPr>
          <w:rFonts w:hint="eastAsia" w:ascii="仿宋_GB2312" w:hAnsi="仿宋_GB2312" w:eastAsia="仿宋_GB2312" w:cs="仿宋_GB2312"/>
          <w:color w:val="auto"/>
          <w:sz w:val="32"/>
          <w:szCs w:val="32"/>
          <w:highlight w:val="none"/>
        </w:rPr>
        <w:t>收购存量商品房用作保障性住房</w:t>
      </w:r>
      <w:r>
        <w:rPr>
          <w:rFonts w:hint="eastAsia" w:ascii="仿宋_GB2312" w:hAnsi="仿宋_GB2312" w:eastAsia="仿宋_GB2312" w:cs="仿宋_GB2312"/>
          <w:color w:val="auto"/>
          <w:sz w:val="32"/>
          <w:szCs w:val="32"/>
          <w:highlight w:val="none"/>
          <w:lang w:val="en-US" w:eastAsia="zh-CN"/>
        </w:rPr>
        <w:t>等各类保障性安居工程</w:t>
      </w:r>
      <w:r>
        <w:rPr>
          <w:rFonts w:hint="eastAsia" w:ascii="仿宋_GB2312" w:hAnsi="仿宋_GB2312" w:eastAsia="仿宋_GB2312" w:cs="仿宋_GB2312"/>
          <w:color w:val="auto"/>
          <w:sz w:val="32"/>
          <w:szCs w:val="32"/>
          <w:highlight w:val="none"/>
        </w:rPr>
        <w:t>，不得挪作他用。对违反资金管理规定的，</w:t>
      </w:r>
      <w:r>
        <w:rPr>
          <w:rFonts w:hint="eastAsia" w:ascii="仿宋_GB2312" w:hAnsi="仿宋_GB2312" w:eastAsia="仿宋_GB2312" w:cs="仿宋_GB2312"/>
          <w:color w:val="auto"/>
          <w:sz w:val="32"/>
          <w:szCs w:val="32"/>
          <w:highlight w:val="none"/>
          <w:lang w:eastAsia="zh-CN"/>
        </w:rPr>
        <w:t>应当</w:t>
      </w:r>
      <w:r>
        <w:rPr>
          <w:rFonts w:hint="eastAsia" w:ascii="仿宋_GB2312" w:hAnsi="仿宋_GB2312" w:eastAsia="仿宋_GB2312" w:cs="仿宋_GB2312"/>
          <w:color w:val="auto"/>
          <w:sz w:val="32"/>
          <w:szCs w:val="32"/>
          <w:highlight w:val="none"/>
        </w:rPr>
        <w:t>追究行政责任；涉嫌犯罪的，移送司法机关处理。</w:t>
      </w:r>
    </w:p>
    <w:p w14:paraId="0C7791A2">
      <w:pPr>
        <w:keepNext w:val="0"/>
        <w:keepLines w:val="0"/>
        <w:pageBreakBefore w:val="0"/>
        <w:widowControl w:val="0"/>
        <w:kinsoku/>
        <w:wordWrap/>
        <w:overflowPunct/>
        <w:topLinePunct w:val="0"/>
        <w:autoSpaceDE/>
        <w:autoSpaceDN/>
        <w:bidi w:val="0"/>
        <w:adjustRightInd/>
        <w:snapToGrid/>
        <w:spacing w:line="575" w:lineRule="exact"/>
        <w:ind w:firstLine="643"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第十四条</w:t>
      </w:r>
      <w:r>
        <w:rPr>
          <w:rFonts w:hint="eastAsia" w:ascii="仿宋_GB2312" w:hAnsi="仿宋_GB2312" w:eastAsia="仿宋_GB2312"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rPr>
        <w:t>针对房地产开发企业在配建保障性住房中的各类问题，由区住房保障部门牵头，会同发改、财政、自然资源、税务等部门建立联席会议机制，研究解决配建工作中的重大问题；重大事项报区人民政府决定。</w:t>
      </w:r>
    </w:p>
    <w:p w14:paraId="7D6BAA5D">
      <w:pPr>
        <w:keepNext w:val="0"/>
        <w:keepLines w:val="0"/>
        <w:pageBreakBefore w:val="0"/>
        <w:widowControl w:val="0"/>
        <w:kinsoku/>
        <w:wordWrap/>
        <w:overflowPunct/>
        <w:topLinePunct w:val="0"/>
        <w:autoSpaceDE/>
        <w:autoSpaceDN/>
        <w:bidi w:val="0"/>
        <w:adjustRightInd/>
        <w:snapToGrid/>
        <w:spacing w:line="575" w:lineRule="exact"/>
        <w:jc w:val="center"/>
        <w:textAlignment w:val="auto"/>
        <w:rPr>
          <w:rFonts w:hint="eastAsia" w:ascii="黑体" w:hAnsi="黑体" w:eastAsia="黑体" w:cs="黑体"/>
          <w:color w:val="auto"/>
          <w:sz w:val="32"/>
          <w:szCs w:val="32"/>
          <w:highlight w:val="none"/>
          <w:lang w:val="en-US" w:eastAsia="zh-CN"/>
        </w:rPr>
      </w:pPr>
    </w:p>
    <w:p w14:paraId="30A6D38F">
      <w:pPr>
        <w:keepNext w:val="0"/>
        <w:keepLines w:val="0"/>
        <w:pageBreakBefore w:val="0"/>
        <w:widowControl w:val="0"/>
        <w:kinsoku/>
        <w:wordWrap/>
        <w:overflowPunct/>
        <w:topLinePunct w:val="0"/>
        <w:autoSpaceDE/>
        <w:autoSpaceDN/>
        <w:bidi w:val="0"/>
        <w:adjustRightInd/>
        <w:snapToGrid/>
        <w:spacing w:line="575" w:lineRule="exact"/>
        <w:jc w:val="center"/>
        <w:textAlignment w:val="auto"/>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lang w:val="en-US" w:eastAsia="zh-CN"/>
        </w:rPr>
        <w:t xml:space="preserve">第五章 </w:t>
      </w:r>
      <w:r>
        <w:rPr>
          <w:rFonts w:hint="eastAsia" w:ascii="黑体" w:hAnsi="黑体" w:eastAsia="黑体" w:cs="黑体"/>
          <w:color w:val="auto"/>
          <w:sz w:val="32"/>
          <w:szCs w:val="32"/>
          <w:highlight w:val="none"/>
        </w:rPr>
        <w:t>监督与检查</w:t>
      </w:r>
    </w:p>
    <w:p w14:paraId="01367575">
      <w:pPr>
        <w:keepNext w:val="0"/>
        <w:keepLines w:val="0"/>
        <w:pageBreakBefore w:val="0"/>
        <w:widowControl w:val="0"/>
        <w:kinsoku/>
        <w:wordWrap/>
        <w:overflowPunct/>
        <w:topLinePunct w:val="0"/>
        <w:autoSpaceDE/>
        <w:autoSpaceDN/>
        <w:bidi w:val="0"/>
        <w:adjustRightInd/>
        <w:snapToGrid/>
        <w:spacing w:line="575" w:lineRule="exact"/>
        <w:ind w:firstLine="643"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第十五条</w:t>
      </w:r>
      <w:r>
        <w:rPr>
          <w:rFonts w:hint="eastAsia" w:ascii="仿宋_GB2312" w:hAnsi="仿宋_GB2312" w:eastAsia="仿宋_GB2312" w:cs="仿宋_GB2312"/>
          <w:color w:val="auto"/>
          <w:sz w:val="32"/>
          <w:szCs w:val="32"/>
          <w:highlight w:val="none"/>
          <w:lang w:val="en-US" w:eastAsia="zh-CN"/>
        </w:rPr>
        <w:t xml:space="preserve">  </w:t>
      </w:r>
      <w:r>
        <w:rPr>
          <w:rFonts w:hint="eastAsia" w:ascii="仿宋_GB2312" w:hAnsi="仿宋_GB2312" w:eastAsia="仿宋_GB2312" w:cs="仿宋_GB2312"/>
          <w:color w:val="auto"/>
          <w:kern w:val="2"/>
          <w:sz w:val="32"/>
          <w:szCs w:val="32"/>
          <w:highlight w:val="none"/>
          <w:lang w:val="en-US" w:eastAsia="zh-CN" w:bidi="ar-SA"/>
        </w:rPr>
        <w:t>对开发建设企业违反国有建设用地使用权出让合同和建设项目协议书约定，不配建或者少配建的、未按照规定程序和要求审批的、配建实施过程中懈怠管理、未保证配建房源质量和进度的、不移交或者少移交配建房源以及建成后擅自挪作他用或处置的，有关管理部门应责令改正，并按照有关合同、协议书的约定进行处</w:t>
      </w:r>
      <w:r>
        <w:rPr>
          <w:rFonts w:hint="eastAsia" w:ascii="仿宋_GB2312" w:hAnsi="仿宋_GB2312" w:eastAsia="仿宋_GB2312" w:cs="仿宋_GB2312"/>
          <w:color w:val="auto"/>
          <w:sz w:val="32"/>
          <w:szCs w:val="32"/>
          <w:highlight w:val="none"/>
          <w:lang w:val="en-US" w:eastAsia="zh-CN"/>
        </w:rPr>
        <w:t>理。拒不改正的，按照规定严肃处理，并将其不良信用记录纳入本市社会信用联合征信系统。涉嫌犯罪的，移送司法机关处理。政府工作人员违反规定使用配建费，以及其他违反本实施方案的行为，有关部门应当及时予以纠正，并对相关工作人员玩忽职守、滥用职权、徇私舞弊的行为依法追究行政责任；涉嫌犯罪的，移送司法机关处理。</w:t>
      </w:r>
    </w:p>
    <w:p w14:paraId="5DC4ACB4">
      <w:pPr>
        <w:keepNext w:val="0"/>
        <w:keepLines w:val="0"/>
        <w:pageBreakBefore w:val="0"/>
        <w:widowControl w:val="0"/>
        <w:kinsoku/>
        <w:wordWrap/>
        <w:overflowPunct/>
        <w:topLinePunct w:val="0"/>
        <w:autoSpaceDE/>
        <w:autoSpaceDN/>
        <w:bidi w:val="0"/>
        <w:adjustRightInd w:val="0"/>
        <w:snapToGrid/>
        <w:spacing w:line="560" w:lineRule="exact"/>
        <w:ind w:firstLine="643" w:firstLineChars="200"/>
        <w:textAlignment w:val="auto"/>
        <w:rPr>
          <w:rFonts w:hint="eastAsia" w:ascii="Times New Roman" w:hAnsi="Times New Roman" w:eastAsia="仿宋_GB2312" w:cs="Times New Roman"/>
          <w:i w:val="0"/>
          <w:iCs w:val="0"/>
          <w:caps w:val="0"/>
          <w:color w:val="auto"/>
          <w:spacing w:val="0"/>
          <w:sz w:val="32"/>
          <w:szCs w:val="32"/>
          <w:highlight w:val="none"/>
          <w:shd w:val="clear" w:color="auto" w:fill="FFFFFF"/>
          <w:lang w:val="en-US" w:eastAsia="zh-CN"/>
        </w:rPr>
      </w:pPr>
      <w:r>
        <w:rPr>
          <w:rFonts w:hint="eastAsia" w:ascii="仿宋_GB2312" w:hAnsi="仿宋_GB2312" w:eastAsia="仿宋_GB2312" w:cs="仿宋_GB2312"/>
          <w:b/>
          <w:bCs/>
          <w:color w:val="auto"/>
          <w:sz w:val="32"/>
          <w:szCs w:val="32"/>
          <w:highlight w:val="none"/>
          <w:lang w:val="en-US" w:eastAsia="zh-CN"/>
        </w:rPr>
        <w:t>第十六条</w:t>
      </w:r>
      <w:r>
        <w:rPr>
          <w:rFonts w:hint="eastAsia" w:ascii="仿宋_GB2312" w:hAnsi="仿宋_GB2312" w:eastAsia="仿宋_GB2312" w:cs="仿宋_GB2312"/>
          <w:color w:val="auto"/>
          <w:sz w:val="32"/>
          <w:szCs w:val="32"/>
          <w:highlight w:val="none"/>
          <w:lang w:val="en-US" w:eastAsia="zh-CN"/>
        </w:rPr>
        <w:t xml:space="preserve">  本实施方案由克拉玛依区住房和城乡建设局</w:t>
      </w:r>
      <w:r>
        <w:rPr>
          <w:rFonts w:hint="eastAsia" w:ascii="Times New Roman" w:hAnsi="Times New Roman" w:eastAsia="仿宋_GB2312" w:cs="Times New Roman"/>
          <w:i w:val="0"/>
          <w:iCs w:val="0"/>
          <w:caps w:val="0"/>
          <w:color w:val="auto"/>
          <w:spacing w:val="0"/>
          <w:sz w:val="32"/>
          <w:szCs w:val="32"/>
          <w:highlight w:val="none"/>
          <w:shd w:val="clear" w:color="auto" w:fill="FFFFFF"/>
          <w:lang w:val="en-US" w:eastAsia="zh-CN"/>
        </w:rPr>
        <w:t>负责解释。</w:t>
      </w:r>
    </w:p>
    <w:p w14:paraId="40374A11">
      <w:pPr>
        <w:keepNext w:val="0"/>
        <w:keepLines w:val="0"/>
        <w:pageBreakBefore w:val="0"/>
        <w:widowControl w:val="0"/>
        <w:kinsoku/>
        <w:wordWrap/>
        <w:overflowPunct/>
        <w:topLinePunct w:val="0"/>
        <w:autoSpaceDE/>
        <w:autoSpaceDN/>
        <w:bidi w:val="0"/>
        <w:adjustRightInd w:val="0"/>
        <w:snapToGrid/>
        <w:spacing w:line="560" w:lineRule="exact"/>
        <w:ind w:firstLine="643" w:firstLineChars="200"/>
        <w:textAlignment w:val="auto"/>
        <w:rPr>
          <w:rFonts w:hint="eastAsia" w:ascii="Times New Roman" w:hAnsi="Times New Roman" w:eastAsia="仿宋_GB2312" w:cs="Times New Roman"/>
          <w:i w:val="0"/>
          <w:iCs w:val="0"/>
          <w:caps w:val="0"/>
          <w:color w:val="auto"/>
          <w:spacing w:val="0"/>
          <w:sz w:val="32"/>
          <w:szCs w:val="32"/>
          <w:highlight w:val="none"/>
          <w:shd w:val="clear" w:color="auto" w:fill="FFFFFF"/>
          <w:lang w:val="en-US" w:eastAsia="zh-CN"/>
        </w:rPr>
      </w:pPr>
      <w:r>
        <w:rPr>
          <w:rFonts w:hint="eastAsia" w:ascii="仿宋_GB2312" w:hAnsi="仿宋_GB2312" w:eastAsia="仿宋_GB2312" w:cs="仿宋_GB2312"/>
          <w:b/>
          <w:bCs/>
          <w:color w:val="auto"/>
          <w:sz w:val="32"/>
          <w:szCs w:val="32"/>
          <w:highlight w:val="none"/>
          <w:lang w:val="en-US" w:eastAsia="zh-CN"/>
        </w:rPr>
        <w:t>第十七条</w:t>
      </w:r>
      <w:r>
        <w:rPr>
          <w:rFonts w:hint="eastAsia" w:ascii="Times New Roman" w:hAnsi="Times New Roman" w:eastAsia="仿宋_GB2312" w:cs="Times New Roman"/>
          <w:i w:val="0"/>
          <w:iCs w:val="0"/>
          <w:caps w:val="0"/>
          <w:color w:val="auto"/>
          <w:spacing w:val="0"/>
          <w:sz w:val="32"/>
          <w:szCs w:val="32"/>
          <w:highlight w:val="none"/>
          <w:shd w:val="clear" w:color="auto" w:fill="FFFFFF"/>
          <w:lang w:val="en-US" w:eastAsia="zh-CN"/>
        </w:rPr>
        <w:t xml:space="preserve">  本方案自公布之日起30日后施行，有效期2年。</w:t>
      </w:r>
    </w:p>
    <w:p w14:paraId="6724A8E6">
      <w:pPr>
        <w:keepNext w:val="0"/>
        <w:keepLines w:val="0"/>
        <w:pageBreakBefore w:val="0"/>
        <w:widowControl w:val="0"/>
        <w:kinsoku/>
        <w:wordWrap/>
        <w:overflowPunct/>
        <w:topLinePunct w:val="0"/>
        <w:autoSpaceDE/>
        <w:autoSpaceDN/>
        <w:bidi w:val="0"/>
        <w:adjustRightInd w:val="0"/>
        <w:snapToGrid/>
        <w:spacing w:line="560" w:lineRule="exact"/>
        <w:ind w:firstLine="640" w:firstLineChars="200"/>
        <w:textAlignment w:val="auto"/>
        <w:rPr>
          <w:rFonts w:hint="eastAsia" w:ascii="Times New Roman" w:hAnsi="Times New Roman" w:eastAsia="仿宋_GB2312" w:cs="Times New Roman"/>
          <w:i w:val="0"/>
          <w:iCs w:val="0"/>
          <w:caps w:val="0"/>
          <w:color w:val="auto"/>
          <w:spacing w:val="0"/>
          <w:sz w:val="32"/>
          <w:szCs w:val="32"/>
          <w:highlight w:val="none"/>
          <w:shd w:val="clear" w:color="auto" w:fill="FFFFFF"/>
          <w:lang w:val="en-US" w:eastAsia="zh-CN"/>
        </w:rPr>
      </w:pPr>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Segoe UI">
    <w:panose1 w:val="020B0502040204020203"/>
    <w:charset w:val="00"/>
    <w:family w:val="auto"/>
    <w:pitch w:val="default"/>
    <w:sig w:usb0="E4002EFF" w:usb1="C000E47F"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60F65EF"/>
    <w:multiLevelType w:val="singleLevel"/>
    <w:tmpl w:val="160F65EF"/>
    <w:lvl w:ilvl="0" w:tentative="0">
      <w:start w:val="1"/>
      <w:numFmt w:val="decimal"/>
      <w:suff w:val="space"/>
      <w:lvlText w:val="%1."/>
      <w:lvlJc w:val="left"/>
      <w:pPr>
        <w:ind w:left="200"/>
      </w:pPr>
      <w:rPr>
        <w:rFonts w:hint="default" w:ascii="Times New Roman" w:hAnsi="Times New Roman" w:cs="Times New Roman"/>
        <w:sz w:val="32"/>
        <w:szCs w:val="32"/>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B322215"/>
    <w:rsid w:val="01C12A5C"/>
    <w:rsid w:val="12DF4D7E"/>
    <w:rsid w:val="133F51DC"/>
    <w:rsid w:val="139E0D62"/>
    <w:rsid w:val="14353353"/>
    <w:rsid w:val="14DC5FE6"/>
    <w:rsid w:val="157312FB"/>
    <w:rsid w:val="1B6D5BEA"/>
    <w:rsid w:val="1C1E3330"/>
    <w:rsid w:val="1CC935F7"/>
    <w:rsid w:val="1D0F178C"/>
    <w:rsid w:val="1D762BCC"/>
    <w:rsid w:val="1EB37344"/>
    <w:rsid w:val="21921D0D"/>
    <w:rsid w:val="21D50045"/>
    <w:rsid w:val="2B0A3EF4"/>
    <w:rsid w:val="2BF24C5B"/>
    <w:rsid w:val="2D331E43"/>
    <w:rsid w:val="38AF2F46"/>
    <w:rsid w:val="3A451DB4"/>
    <w:rsid w:val="3B322215"/>
    <w:rsid w:val="3B886569"/>
    <w:rsid w:val="3C357E8F"/>
    <w:rsid w:val="41ED0EEF"/>
    <w:rsid w:val="481D25A8"/>
    <w:rsid w:val="4D1A573F"/>
    <w:rsid w:val="4E4F1333"/>
    <w:rsid w:val="4E9C4EF1"/>
    <w:rsid w:val="4EA41021"/>
    <w:rsid w:val="504F7091"/>
    <w:rsid w:val="55C50BCD"/>
    <w:rsid w:val="5A8470E3"/>
    <w:rsid w:val="5D19655A"/>
    <w:rsid w:val="60307E44"/>
    <w:rsid w:val="658777B7"/>
    <w:rsid w:val="6B2036AC"/>
    <w:rsid w:val="6BD13386"/>
    <w:rsid w:val="6E993EB1"/>
    <w:rsid w:val="6EDD3D2D"/>
    <w:rsid w:val="6FCC3E02"/>
    <w:rsid w:val="70D966C7"/>
    <w:rsid w:val="7290383B"/>
    <w:rsid w:val="73843B37"/>
    <w:rsid w:val="7A0A448F"/>
    <w:rsid w:val="7BFB67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9fb783f4-a723-4bd4-bb21-a5406252120e</errorID>
      <errorWord>本方案适用于</errorWord>
      <group>L1_Grammar</group>
      <groupName>语法问题</groupName>
      <ability>L2_Grammar</ability>
      <abilityName>语法错误</abilityName>
      <candidateList>
        <item>；</item>
      </candidateList>
      <explain/>
      <paraID>26E42D76</paraID>
      <start>30</start>
      <end>31</end>
      <status>modified</status>
      <modifiedWord>；</modifiedWord>
      <trackRevisions>false</trackRevisions>
    </reviewItem>
    <reviewItem>
      <errorID>b97e7666-d318-4a34-95f4-ea55c787eb5b</errorID>
      <errorWord>；</errorWord>
      <group>L1_Grammar</group>
      <groupName>语法问题</groupName>
      <ability>L2_Grammar</ability>
      <abilityName>语法错误</abilityName>
      <candidateList>
        <item>，适用本方案；</item>
      </candidateList>
      <explain/>
      <paraID>26E42D76</paraID>
      <start>48</start>
      <end>55</end>
      <status>modified</status>
      <modifiedWord>，适用本方案；</modifiedWord>
      <trackRevisions>false</trackRevisions>
    </reviewItem>
    <reviewItem>
      <errorID>e7ab0a29-9e49-4c35-901b-38fd5392ccc7</errorID>
      <errorWord>区住建部门</errorWord>
      <group>L1_Other</group>
      <groupName>其他问题</groupName>
      <ability>L2_Consistency</ability>
      <abilityName>一致性检查</abilityName>
      <candidateList>
        <item>区住房保障部门</item>
      </candidateList>
      <explain>实体一致性错误，全文负责住房保障工作的部门统一表述为“区住房保障部门”，此处表述不统一</explain>
      <paraID>4E99A682</paraID>
      <start>1</start>
      <end>8</end>
      <status>modified</status>
      <modifiedWord>区住房保障部门</modifiedWord>
      <trackRevisions>false</trackRevisions>
    </reviewItem>
    <reviewItem>
      <errorID>456a5b9e-1ece-4b0e-ab8b-73c933d18901</errorID>
      <errorWord>过</errorWord>
      <group>L1_Word</group>
      <groupName>字词问题</groupName>
      <ability>L2_Typo</ability>
      <abilityName>字词错误</abilityName>
      <candidateList>
        <item>过后</item>
      </candidateList>
      <explain/>
      <paraID>28F4C1B5</paraID>
      <start>145</start>
      <end>147</end>
      <status>modified</status>
      <modifiedWord>过后</modifiedWord>
      <trackRevisions>false</trackRevisions>
    </reviewItem>
    <reviewItem>
      <errorID>12be2020-5d01-46a9-80f0-7ef71a775672</errorID>
      <errorWord>。</errorWord>
      <group>L1_Punc</group>
      <groupName>标点问题</groupName>
      <ability>L2_Punc_CN</ability>
      <abilityName>标点符号问题</abilityName>
      <candidateList>
        <item>，</item>
      </candidateList>
      <explain/>
      <paraID>745C188E</paraID>
      <start>166</start>
      <end>167</end>
      <status>modified</status>
      <modifiedWord>，</modifiedWord>
      <trackRevisions>false</trackRevisions>
    </reviewItem>
    <reviewItem>
      <errorID>684ba77c-16fc-47dc-99e2-aaad8f923abe</errorID>
      <errorWord>；</errorWord>
      <group>L1_Punc</group>
      <groupName>标点问题</groupName>
      <ability>L2_Punc_CN</ability>
      <abilityName>标点符号问题</abilityName>
      <candidateList>
        <item>。</item>
      </candidateList>
      <explain/>
      <paraID>745C188E</paraID>
      <start>187</start>
      <end>188</end>
      <status>modified</status>
      <modifiedWord>。</modifiedWord>
      <trackRevisions>false</trackRevisions>
    </reviewItem>
    <reviewItem>
      <errorID>4b9b3a2b-8892-4be3-92cf-2c892c181a7c</errorID>
      <errorWord>：</errorWord>
      <group>L1_Punc</group>
      <groupName>标点问题</groupName>
      <ability>L2_Punc_CN</ability>
      <abilityName>标点符号问题</abilityName>
      <candidateList>
        <item/>
      </candidateList>
      <explain/>
      <paraID>7D7A7654</paraID>
      <start>23</start>
      <end>23</end>
      <status>modified</status>
      <modifiedWord/>
      <trackRevisions>false</trackRevisions>
    </reviewItem>
    <reviewItem>
      <errorID>b81b64cf-36de-4348-9833-9c3ffcccb46f</errorID>
      <errorWord>双方</errorWord>
      <group>L1_Punc</group>
      <groupName>标点问题</groupName>
      <ability>L2_Punc_CN</ability>
      <abilityName>标点符号问题</abilityName>
      <candidateList>
        <item>，双方</item>
      </candidateList>
      <explain/>
      <paraID>7009147F</paraID>
      <start>81</start>
      <end>84</end>
      <status>modified</status>
      <modifiedWord>，双方</modifiedWord>
      <trackRevisions>false</trackRevisions>
    </reviewItem>
    <reviewItem>
      <errorID>d2b374a4-0574-4bbd-8d59-1c77ba811644</errorID>
      <errorWord>；</errorWord>
      <group>L1_Punc</group>
      <groupName>标点问题</groupName>
      <ability>L2_Punc_CN</ability>
      <abilityName>标点符号问题</abilityName>
      <candidateList>
        <item>。</item>
      </candidateList>
      <explain/>
      <paraID>7009147F</paraID>
      <start>86</start>
      <end>87</end>
      <status>unmodified</status>
      <modifiedWord/>
      <trackRevisions>false</trackRevisions>
    </reviewItem>
    <reviewItem>
      <errorID>fcb8f6d3-b276-45c2-8b9c-4aa8a353aef9</errorID>
      <errorWord>建设项目协议书</errorWord>
      <group>L1_Other</group>
      <groupName>其他问题</groupName>
      <ability>L2_Consistency</ability>
      <abilityName>一致性检查</abilityName>
      <candidateList>
        <item>《保障性住房配建协议书》</item>
      </candidateList>
      <explain>实体一致性错误，前文明确约定配建相关事项签订的协议为《保障性住房配建协议书》，此处表述不统一</explain>
      <paraID> 1367575</paraID>
      <start>29</start>
      <end>36</end>
      <status>unmodified</status>
      <modifiedWord/>
      <trackRevisions>false</trackRevisions>
    </reviewItem>
  </reviewItems>
  <config/>
</contractReview>
</file>

<file path=customXml/itemProps1.xml><?xml version="1.0" encoding="utf-8"?>
<ds:datastoreItem xmlns:ds="http://schemas.openxmlformats.org/officeDocument/2006/customXml" ds:itemID="{360ea329-a810-412b-88f2-dc4aa197bf2c}">
  <ds:schemaRefs/>
</ds:datastoreItem>
</file>

<file path=docProps/app.xml><?xml version="1.0" encoding="utf-8"?>
<Properties xmlns="http://schemas.openxmlformats.org/officeDocument/2006/extended-properties" xmlns:vt="http://schemas.openxmlformats.org/officeDocument/2006/docPropsVTypes">
  <Template>Normal.dotm</Template>
  <Pages>8</Pages>
  <Words>3654</Words>
  <Characters>3671</Characters>
  <Lines>0</Lines>
  <Paragraphs>0</Paragraphs>
  <TotalTime>17</TotalTime>
  <ScaleCrop>false</ScaleCrop>
  <LinksUpToDate>false</LinksUpToDate>
  <CharactersWithSpaces>3719</CharactersWithSpaces>
  <Application>WPS Office_12.1.0.29680_F1E327BC-269C-435d-A152-05C5408002CA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2026-06-01T08:55:00Z</dcterms:created>
  <dc:creator>扭扭泥泥</dc:creator>
  <cp:lastModifiedBy>扭扭泥泥</cp:lastModifiedBy>
  <cp:lastPrinted>2026-09-04T02:51:00Z</cp:lastPrinted>
  <dcterms:modified xsi:type="dcterms:W3CDTF">2026-10-30T10:04:00Z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2052-12.1.0.29680</vt:lpwstr>
  </property>
  <property fmtid="{D5CDD505-2E9C-101B-9397-08002B2CF9AE}" pid="3" name="ICV">
    <vt:lpwstr>B4C1D32B06A743578F984845153706F8_13</vt:lpwstr>
  </property>
  <property fmtid="{D5CDD505-2E9C-101B-9397-08002B2CF9AE}" pid="4" name="KSOTemplateDocerSaveRecord">
    <vt:lpwstr>eyJoZGlkIjoiOWU4Y2YyMWQ5YzlmOGQxOTcwMjE1YjRhMDA1MGI2MjgiLCJ1c2VySWQiOiI0NjcxOTAzMjMifQ==</vt:lpwstr>
  </property>
</Properties>
</file>