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340D34">
      <w:pPr>
        <w:keepNext w:val="0"/>
        <w:keepLines w:val="0"/>
        <w:pageBreakBefore w:val="0"/>
        <w:widowControl w:val="0"/>
        <w:kinsoku/>
        <w:wordWrap/>
        <w:overflowPunct/>
        <w:topLinePunct w:val="0"/>
        <w:autoSpaceDE/>
        <w:autoSpaceDN/>
        <w:bidi w:val="0"/>
        <w:adjustRightInd/>
        <w:snapToGrid/>
        <w:spacing w:line="575"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w:t>
      </w:r>
      <w:r>
        <w:rPr>
          <w:rFonts w:hint="eastAsia" w:ascii="方正小标宋简体" w:hAnsi="方正小标宋简体" w:eastAsia="方正小标宋简体" w:cs="方正小标宋简体"/>
          <w:sz w:val="44"/>
          <w:szCs w:val="44"/>
        </w:rPr>
        <w:t>《克拉玛依区保障性住房配套建设实施方案（试行）》</w:t>
      </w:r>
      <w:r>
        <w:rPr>
          <w:rFonts w:hint="eastAsia" w:ascii="方正小标宋简体" w:hAnsi="方正小标宋简体" w:eastAsia="方正小标宋简体" w:cs="方正小标宋简体"/>
          <w:sz w:val="44"/>
          <w:szCs w:val="44"/>
          <w:lang w:val="en-US" w:eastAsia="zh-CN"/>
        </w:rPr>
        <w:t>的起草说明</w:t>
      </w:r>
    </w:p>
    <w:p w14:paraId="51D95C8A">
      <w:pPr>
        <w:keepNext w:val="0"/>
        <w:keepLines w:val="0"/>
        <w:pageBreakBefore w:val="0"/>
        <w:widowControl w:val="0"/>
        <w:kinsoku/>
        <w:wordWrap/>
        <w:overflowPunct/>
        <w:topLinePunct w:val="0"/>
        <w:autoSpaceDE/>
        <w:autoSpaceDN/>
        <w:bidi w:val="0"/>
        <w:adjustRightInd/>
        <w:snapToGrid/>
        <w:spacing w:line="575" w:lineRule="exact"/>
        <w:jc w:val="center"/>
        <w:textAlignment w:val="auto"/>
        <w:rPr>
          <w:rFonts w:hint="eastAsia" w:ascii="方正小标宋简体" w:hAnsi="方正小标宋简体" w:eastAsia="方正小标宋简体" w:cs="方正小标宋简体"/>
          <w:sz w:val="44"/>
          <w:szCs w:val="44"/>
          <w:lang w:val="en-US" w:eastAsia="zh-CN"/>
        </w:rPr>
      </w:pPr>
    </w:p>
    <w:p w14:paraId="256274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小标宋简体" w:hAnsi="方正小标宋简体" w:eastAsia="方正小标宋简体" w:cs="方正小标宋简体"/>
          <w:sz w:val="44"/>
          <w:szCs w:val="44"/>
          <w:lang w:val="en-US" w:eastAsia="zh-CN"/>
        </w:rPr>
      </w:pPr>
      <w:r>
        <w:rPr>
          <w:rFonts w:ascii="Times New Roman" w:hAnsi="仿宋_GB2312" w:eastAsia="仿宋_GB2312" w:cs="Times New Roman"/>
          <w:sz w:val="32"/>
          <w:szCs w:val="32"/>
          <w:shd w:val="clear" w:color="auto" w:fill="FFFFFF"/>
        </w:rPr>
        <w:t>《</w:t>
      </w:r>
      <w:r>
        <w:rPr>
          <w:rFonts w:hint="eastAsia" w:ascii="Times New Roman" w:hAnsi="仿宋_GB2312" w:eastAsia="仿宋_GB2312" w:cs="Times New Roman"/>
          <w:sz w:val="32"/>
          <w:szCs w:val="32"/>
          <w:shd w:val="clear" w:color="auto" w:fill="FFFFFF"/>
        </w:rPr>
        <w:t>克拉玛依区保障性住房配套建设实施方案（试行）</w:t>
      </w:r>
      <w:r>
        <w:rPr>
          <w:rFonts w:ascii="Times New Roman" w:hAnsi="仿宋_GB2312" w:eastAsia="仿宋_GB2312" w:cs="Times New Roman"/>
          <w:sz w:val="32"/>
          <w:szCs w:val="32"/>
          <w:shd w:val="clear" w:color="auto" w:fill="FFFFFF"/>
        </w:rPr>
        <w:t>》由克拉玛依</w:t>
      </w:r>
      <w:r>
        <w:rPr>
          <w:rFonts w:hint="eastAsia" w:ascii="Times New Roman" w:hAnsi="仿宋_GB2312" w:eastAsia="仿宋_GB2312" w:cs="Times New Roman"/>
          <w:sz w:val="32"/>
          <w:szCs w:val="32"/>
          <w:shd w:val="clear" w:color="auto" w:fill="FFFFFF"/>
          <w:lang w:val="en-US" w:eastAsia="zh-CN"/>
        </w:rPr>
        <w:t>区</w:t>
      </w:r>
      <w:r>
        <w:rPr>
          <w:rFonts w:ascii="Times New Roman" w:hAnsi="仿宋_GB2312" w:eastAsia="仿宋_GB2312" w:cs="Times New Roman"/>
          <w:sz w:val="32"/>
          <w:szCs w:val="32"/>
          <w:shd w:val="clear" w:color="auto" w:fill="FFFFFF"/>
        </w:rPr>
        <w:t>住房和城乡建设局负责起草。</w:t>
      </w:r>
      <w:r>
        <w:rPr>
          <w:rFonts w:hint="eastAsia" w:ascii="仿宋_GB2312" w:hAnsi="仿宋_GB2312" w:eastAsia="仿宋_GB2312" w:cs="仿宋_GB2312"/>
          <w:sz w:val="32"/>
          <w:szCs w:val="32"/>
        </w:rPr>
        <w:t>现将有关起草情况说明如下：</w:t>
      </w:r>
    </w:p>
    <w:p w14:paraId="24170B0F">
      <w:pPr>
        <w:numPr>
          <w:ilvl w:val="0"/>
          <w:numId w:val="1"/>
        </w:numPr>
        <w:spacing w:line="560" w:lineRule="exact"/>
        <w:ind w:firstLine="640" w:firstLineChars="200"/>
        <w:rPr>
          <w:rFonts w:ascii="Times New Roman" w:hAnsi="黑体" w:eastAsia="黑体" w:cs="Times New Roman"/>
          <w:sz w:val="32"/>
          <w:szCs w:val="32"/>
        </w:rPr>
      </w:pPr>
      <w:r>
        <w:rPr>
          <w:rFonts w:ascii="Times New Roman" w:hAnsi="黑体" w:eastAsia="黑体" w:cs="Times New Roman"/>
          <w:sz w:val="32"/>
          <w:szCs w:val="32"/>
        </w:rPr>
        <w:t>制定必要性</w:t>
      </w:r>
    </w:p>
    <w:p w14:paraId="3379A603">
      <w:pPr>
        <w:numPr>
          <w:ilvl w:val="0"/>
          <w:numId w:val="0"/>
        </w:numPr>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为</w:t>
      </w:r>
      <w:r>
        <w:rPr>
          <w:rFonts w:hint="eastAsia" w:ascii="Times New Roman" w:hAnsi="仿宋_GB2312" w:eastAsia="仿宋_GB2312" w:cs="Times New Roman"/>
          <w:sz w:val="32"/>
          <w:szCs w:val="32"/>
          <w:shd w:val="clear" w:color="auto" w:fill="FFFFFF"/>
          <w:lang w:val="en-US" w:eastAsia="zh-CN"/>
        </w:rPr>
        <w:t>持续推进各类保障性住房建设筹集</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仿宋_GB2312" w:eastAsia="仿宋_GB2312" w:cs="Times New Roman"/>
          <w:sz w:val="32"/>
          <w:szCs w:val="32"/>
          <w:shd w:val="clear" w:color="auto" w:fill="FFFFFF"/>
          <w:lang w:val="en-US" w:eastAsia="zh-CN"/>
        </w:rPr>
        <w:t>进一步优化保障性住房供给，积极落实关于建设“好房子”的部署，</w:t>
      </w:r>
      <w:r>
        <w:rPr>
          <w:rFonts w:hint="default" w:ascii="Times New Roman" w:hAnsi="Times New Roman" w:eastAsia="仿宋_GB2312" w:cs="Times New Roman"/>
          <w:color w:val="auto"/>
          <w:sz w:val="32"/>
          <w:szCs w:val="32"/>
          <w:highlight w:val="none"/>
          <w:lang w:val="en-US" w:eastAsia="zh-CN"/>
        </w:rPr>
        <w:t>促进房地产市场平稳健康发展和民生改善，</w:t>
      </w:r>
      <w:r>
        <w:rPr>
          <w:rFonts w:hint="eastAsia" w:ascii="Times New Roman" w:hAnsi="仿宋_GB2312" w:eastAsia="仿宋_GB2312" w:cs="Times New Roman"/>
          <w:sz w:val="32"/>
          <w:szCs w:val="32"/>
          <w:shd w:val="clear" w:color="auto" w:fill="FFFFFF"/>
          <w:lang w:val="en-US" w:eastAsia="zh-CN"/>
        </w:rPr>
        <w:t>加快构建房地产发展新模式。</w:t>
      </w:r>
      <w:r>
        <w:rPr>
          <w:rFonts w:hint="default"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参考自治区相关政策，并借鉴疆内外先进城市的经验，结合</w:t>
      </w:r>
      <w:r>
        <w:rPr>
          <w:rFonts w:hint="eastAsia"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我区</w:t>
      </w:r>
      <w:r>
        <w:rPr>
          <w:rFonts w:hint="default"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实际，</w:t>
      </w:r>
      <w:r>
        <w:rPr>
          <w:rFonts w:hint="eastAsia"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制定</w:t>
      </w:r>
      <w:r>
        <w:rPr>
          <w:rFonts w:ascii="Times New Roman" w:hAnsi="仿宋_GB2312" w:eastAsia="仿宋_GB2312" w:cs="Times New Roman"/>
          <w:sz w:val="32"/>
          <w:szCs w:val="32"/>
          <w:shd w:val="clear" w:color="auto" w:fill="FFFFFF"/>
        </w:rPr>
        <w:t>《</w:t>
      </w:r>
      <w:r>
        <w:rPr>
          <w:rFonts w:hint="eastAsia" w:ascii="Times New Roman" w:hAnsi="仿宋_GB2312" w:eastAsia="仿宋_GB2312" w:cs="Times New Roman"/>
          <w:sz w:val="32"/>
          <w:szCs w:val="32"/>
          <w:shd w:val="clear" w:color="auto" w:fill="FFFFFF"/>
        </w:rPr>
        <w:t>克拉玛依区保障性住房配套建设实施方案（试行）</w:t>
      </w:r>
      <w:r>
        <w:rPr>
          <w:rFonts w:ascii="Times New Roman" w:hAnsi="仿宋_GB2312" w:eastAsia="仿宋_GB2312" w:cs="Times New Roman"/>
          <w:sz w:val="32"/>
          <w:szCs w:val="32"/>
          <w:shd w:val="clear" w:color="auto" w:fill="FFFFFF"/>
        </w:rPr>
        <w:t>》（以下简称《</w:t>
      </w:r>
      <w:r>
        <w:rPr>
          <w:rFonts w:hint="eastAsia" w:ascii="Times New Roman" w:hAnsi="仿宋_GB2312" w:eastAsia="仿宋_GB2312" w:cs="Times New Roman"/>
          <w:sz w:val="32"/>
          <w:szCs w:val="32"/>
          <w:shd w:val="clear" w:color="auto" w:fill="FFFFFF"/>
          <w:lang w:val="en-US" w:eastAsia="zh-CN"/>
        </w:rPr>
        <w:t>实施方案</w:t>
      </w:r>
      <w:r>
        <w:rPr>
          <w:rFonts w:ascii="Times New Roman" w:hAnsi="仿宋_GB2312" w:eastAsia="仿宋_GB2312" w:cs="Times New Roman"/>
          <w:sz w:val="32"/>
          <w:szCs w:val="32"/>
          <w:shd w:val="clear" w:color="auto" w:fill="FFFFFF"/>
        </w:rPr>
        <w:t>》）</w:t>
      </w:r>
      <w:r>
        <w:rPr>
          <w:rFonts w:hint="eastAsia"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w:t>
      </w:r>
    </w:p>
    <w:p w14:paraId="3DB6F2CA">
      <w:pPr>
        <w:spacing w:line="560" w:lineRule="exact"/>
        <w:ind w:firstLine="640" w:firstLineChars="200"/>
        <w:rPr>
          <w:rFonts w:hint="default" w:ascii="Times New Roman" w:hAnsi="黑体" w:eastAsia="黑体" w:cs="Times New Roman"/>
          <w:sz w:val="32"/>
          <w:szCs w:val="32"/>
          <w:lang w:val="en-US" w:eastAsia="zh-CN"/>
        </w:rPr>
      </w:pPr>
      <w:r>
        <w:rPr>
          <w:rFonts w:hint="eastAsia" w:ascii="Times New Roman" w:hAnsi="仿宋_GB2312" w:eastAsia="仿宋_GB2312" w:cs="Times New Roman"/>
          <w:sz w:val="32"/>
          <w:szCs w:val="32"/>
          <w:shd w:val="clear" w:color="auto" w:fill="FFFFFF"/>
          <w:lang w:val="en-US" w:eastAsia="zh-CN"/>
        </w:rPr>
        <w:t>我区现有保障性住房（公租房、保障性租赁住房）主要以配套建设、集中建设的方式进行筹集。2026年3月，克拉玛依市自然资源局、克拉玛依市住建局联合印发《克拉玛依市“好房子”规划建设管理的若干规定》，其中“第十一条（保障性住房配建优化）按照‘一地块一标准’原则，允许房地产企业通过原地配建、异地配建、缴纳费用抵扣等多种方式完成保障性住房配建任务。”《实施方案》通过对原地配建、异地配建、缴纳费用抵扣等多种方式进行细化规范，进一步明确各种方式的实施要求，为政策落实提供可操作的执行路径，也为我区保障性住房多渠道筹集提供制度支撑，有效补齐保障性住房供给配套短板。</w:t>
      </w:r>
    </w:p>
    <w:p w14:paraId="52A4FCF1">
      <w:pPr>
        <w:numPr>
          <w:ilvl w:val="0"/>
          <w:numId w:val="1"/>
        </w:numPr>
        <w:spacing w:line="560" w:lineRule="exact"/>
        <w:ind w:firstLine="640" w:firstLineChars="200"/>
        <w:rPr>
          <w:rFonts w:ascii="Times New Roman" w:hAnsi="黑体" w:eastAsia="黑体" w:cs="Times New Roman"/>
          <w:sz w:val="32"/>
          <w:szCs w:val="32"/>
        </w:rPr>
      </w:pPr>
      <w:r>
        <w:rPr>
          <w:rFonts w:hint="eastAsia" w:ascii="Times New Roman" w:hAnsi="黑体" w:eastAsia="黑体" w:cs="Times New Roman"/>
          <w:sz w:val="32"/>
          <w:szCs w:val="32"/>
        </w:rPr>
        <w:t>制定依据</w:t>
      </w:r>
    </w:p>
    <w:p w14:paraId="4DDD5866">
      <w:pPr>
        <w:numPr>
          <w:ilvl w:val="0"/>
          <w:numId w:val="2"/>
        </w:numPr>
        <w:spacing w:line="560" w:lineRule="exact"/>
        <w:ind w:left="-10" w:leftChars="0" w:firstLine="640" w:firstLineChars="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住房和城乡建设部等6部门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关于做好保障性住房建设筹集有关工作的通知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建保</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16</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eastAsia="zh-CN"/>
        </w:rPr>
        <w:t>；</w:t>
      </w:r>
    </w:p>
    <w:p w14:paraId="1C629FAF">
      <w:pPr>
        <w:numPr>
          <w:ilvl w:val="0"/>
          <w:numId w:val="2"/>
        </w:numPr>
        <w:spacing w:line="560" w:lineRule="exact"/>
        <w:ind w:left="-10" w:leftChars="0" w:firstLine="640" w:firstLineChars="0"/>
        <w:rPr>
          <w:rFonts w:hint="eastAsia" w:ascii="Times New Roman" w:hAnsi="黑体" w:eastAsia="黑体" w:cs="Times New Roman"/>
          <w:sz w:val="32"/>
          <w:szCs w:val="32"/>
          <w:lang w:val="en-US" w:eastAsia="zh-CN"/>
        </w:rPr>
      </w:pPr>
      <w:r>
        <w:rPr>
          <w:rFonts w:hint="eastAsia" w:ascii="仿宋_GB2312" w:hAnsi="仿宋_GB2312" w:eastAsia="仿宋_GB2312" w:cs="仿宋_GB2312"/>
          <w:color w:val="auto"/>
          <w:sz w:val="32"/>
          <w:szCs w:val="32"/>
          <w:lang w:val="en-US" w:eastAsia="zh-CN"/>
        </w:rPr>
        <w:t>克拉玛依市</w:t>
      </w:r>
      <w:bookmarkStart w:id="0" w:name="_GoBack"/>
      <w:bookmarkEnd w:id="0"/>
      <w:r>
        <w:rPr>
          <w:rFonts w:hint="eastAsia" w:ascii="仿宋_GB2312" w:hAnsi="仿宋_GB2312" w:eastAsia="仿宋_GB2312" w:cs="仿宋_GB2312"/>
          <w:color w:val="auto"/>
          <w:sz w:val="32"/>
          <w:szCs w:val="32"/>
          <w:lang w:val="en-US" w:eastAsia="zh-CN"/>
        </w:rPr>
        <w:t>自然资源局、克拉玛依市住房和城乡建设局《关于印发〈克拉玛依市“好房子”规划建设管理的若干规定〉的通知》</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克自然资规</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eastAsia="zh-CN"/>
        </w:rPr>
        <w:t>；</w:t>
      </w:r>
    </w:p>
    <w:p w14:paraId="21C6AAFE">
      <w:pPr>
        <w:numPr>
          <w:ilvl w:val="0"/>
          <w:numId w:val="2"/>
        </w:numPr>
        <w:spacing w:line="560" w:lineRule="exact"/>
        <w:ind w:left="-10" w:leftChars="0" w:firstLine="640" w:firstLineChars="0"/>
        <w:rPr>
          <w:rFonts w:hint="eastAsia" w:ascii="Times New Roman" w:hAnsi="黑体" w:eastAsia="黑体" w:cs="Times New Roman"/>
          <w:sz w:val="32"/>
          <w:szCs w:val="32"/>
          <w:lang w:val="en-US" w:eastAsia="zh-CN"/>
        </w:rPr>
      </w:pPr>
      <w:r>
        <w:rPr>
          <w:rFonts w:hint="eastAsia" w:ascii="仿宋_GB2312" w:hAnsi="仿宋_GB2312" w:eastAsia="仿宋_GB2312" w:cs="仿宋_GB2312"/>
          <w:color w:val="auto"/>
          <w:sz w:val="32"/>
          <w:szCs w:val="32"/>
          <w:lang w:val="en-US" w:eastAsia="zh-CN"/>
        </w:rPr>
        <w:t>借鉴上海市、乌鲁木齐市等城市关于保障性住房配套建设相关规定。</w:t>
      </w:r>
    </w:p>
    <w:p w14:paraId="74DF1B75">
      <w:pPr>
        <w:numPr>
          <w:ilvl w:val="0"/>
          <w:numId w:val="1"/>
        </w:numPr>
        <w:spacing w:line="560" w:lineRule="exact"/>
        <w:ind w:firstLine="640" w:firstLineChars="200"/>
        <w:rPr>
          <w:rFonts w:hint="eastAsia"/>
        </w:rPr>
      </w:pPr>
      <w:r>
        <w:rPr>
          <w:rFonts w:hint="eastAsia" w:ascii="Times New Roman" w:hAnsi="黑体" w:eastAsia="黑体" w:cs="Times New Roman"/>
          <w:sz w:val="32"/>
          <w:szCs w:val="32"/>
          <w:lang w:val="en-US" w:eastAsia="zh-CN"/>
        </w:rPr>
        <w:t>起草过程</w:t>
      </w:r>
    </w:p>
    <w:p w14:paraId="41D901FF">
      <w:pPr>
        <w:numPr>
          <w:ilvl w:val="0"/>
          <w:numId w:val="0"/>
        </w:numPr>
        <w:spacing w:line="56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2026年6月，围绕规范商品住房项目配建保障性住房行为、多渠道筹措房源的目标，认真梳理国家和市级有关政策，结合本区实际，对适用范围、配建比例、配建方式、移交程序、资金管理、部门职责等关键事项进行研究，形成《实施方案》初稿。</w:t>
      </w:r>
    </w:p>
    <w:p w14:paraId="1B4B0FC9">
      <w:pPr>
        <w:numPr>
          <w:ilvl w:val="0"/>
          <w:numId w:val="0"/>
        </w:numPr>
        <w:spacing w:line="56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2026年7月，向市住建局及本年度有开发项目的房地产开发企业征求意见，根据反馈意见对初稿进行修改；</w:t>
      </w:r>
    </w:p>
    <w:p w14:paraId="2F62F85E">
      <w:pPr>
        <w:numPr>
          <w:ilvl w:val="0"/>
          <w:numId w:val="0"/>
        </w:numPr>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2026年8月，向《实施方案》涉及部门克拉玛依市自然资源局克区分局、区财政局及区税务局征求意见，</w:t>
      </w:r>
      <w:r>
        <w:rPr>
          <w:rFonts w:hint="default" w:ascii="Times New Roman" w:hAnsi="Times New Roman" w:eastAsia="仿宋_GB2312" w:cs="Times New Roman"/>
          <w:color w:val="auto"/>
          <w:sz w:val="32"/>
          <w:szCs w:val="32"/>
          <w:highlight w:val="none"/>
          <w:lang w:val="en-US" w:eastAsia="zh-CN"/>
        </w:rPr>
        <w:t>并进行局内研究讨论。</w:t>
      </w:r>
    </w:p>
    <w:p w14:paraId="7457781E">
      <w:pPr>
        <w:numPr>
          <w:ilvl w:val="0"/>
          <w:numId w:val="0"/>
        </w:numPr>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2026年9月，再次进行修改，</w:t>
      </w:r>
      <w:r>
        <w:rPr>
          <w:rFonts w:hint="default" w:ascii="Times New Roman" w:hAnsi="Times New Roman" w:eastAsia="仿宋_GB2312" w:cs="Times New Roman"/>
          <w:color w:val="auto"/>
          <w:sz w:val="32"/>
          <w:szCs w:val="32"/>
          <w:highlight w:val="none"/>
          <w:lang w:val="en-US" w:eastAsia="zh-CN"/>
        </w:rPr>
        <w:t>形成</w:t>
      </w:r>
      <w:r>
        <w:rPr>
          <w:rFonts w:hint="eastAsia" w:ascii="Times New Roman" w:hAnsi="Times New Roman" w:eastAsia="仿宋_GB2312" w:cs="Times New Roman"/>
          <w:color w:val="auto"/>
          <w:sz w:val="32"/>
          <w:szCs w:val="32"/>
          <w:highlight w:val="none"/>
          <w:lang w:val="en-US" w:eastAsia="zh-CN"/>
        </w:rPr>
        <w:t>现有《实施方案》</w:t>
      </w:r>
      <w:r>
        <w:rPr>
          <w:rFonts w:hint="default" w:ascii="Times New Roman" w:hAnsi="Times New Roman" w:eastAsia="仿宋_GB2312" w:cs="Times New Roman"/>
          <w:color w:val="auto"/>
          <w:sz w:val="32"/>
          <w:szCs w:val="32"/>
          <w:highlight w:val="none"/>
          <w:lang w:val="en-US" w:eastAsia="zh-CN"/>
        </w:rPr>
        <w:t>。</w:t>
      </w:r>
    </w:p>
    <w:p w14:paraId="1E5AFD9A">
      <w:pPr>
        <w:numPr>
          <w:ilvl w:val="0"/>
          <w:numId w:val="1"/>
        </w:numPr>
        <w:spacing w:line="560" w:lineRule="exact"/>
        <w:ind w:firstLine="640" w:firstLineChars="200"/>
        <w:rPr>
          <w:rFonts w:hint="eastAsia" w:ascii="Times New Roman" w:hAnsi="仿宋_GB2312" w:eastAsia="仿宋_GB2312" w:cs="Times New Roman"/>
          <w:sz w:val="32"/>
          <w:szCs w:val="32"/>
          <w:shd w:val="clear" w:color="auto" w:fill="FFFFFF"/>
          <w:lang w:val="en-US" w:eastAsia="zh-CN"/>
        </w:rPr>
      </w:pPr>
      <w:r>
        <w:rPr>
          <w:rFonts w:hint="eastAsia" w:ascii="Times New Roman" w:hAnsi="黑体" w:eastAsia="黑体" w:cs="Times New Roman"/>
          <w:sz w:val="32"/>
          <w:szCs w:val="32"/>
          <w:lang w:val="en-US" w:eastAsia="zh-CN"/>
        </w:rPr>
        <w:t>主要内容</w:t>
      </w:r>
    </w:p>
    <w:p w14:paraId="067F8592">
      <w:pPr>
        <w:spacing w:line="560" w:lineRule="exact"/>
        <w:ind w:firstLine="640" w:firstLineChars="200"/>
        <w:rPr>
          <w:rFonts w:hint="eastAsia" w:ascii="Times New Roman" w:hAnsi="仿宋_GB2312" w:eastAsia="仿宋_GB2312" w:cs="Times New Roman"/>
          <w:sz w:val="32"/>
          <w:szCs w:val="32"/>
          <w:shd w:val="clear" w:color="auto" w:fill="FFFFFF"/>
          <w:lang w:val="en-US" w:eastAsia="zh-CN"/>
        </w:rPr>
      </w:pPr>
      <w:r>
        <w:rPr>
          <w:rFonts w:hint="eastAsia" w:ascii="Times New Roman" w:hAnsi="仿宋_GB2312" w:eastAsia="仿宋_GB2312" w:cs="Times New Roman"/>
          <w:sz w:val="32"/>
          <w:szCs w:val="32"/>
          <w:shd w:val="clear" w:color="auto" w:fill="FFFFFF"/>
          <w:lang w:val="en-US" w:eastAsia="zh-CN"/>
        </w:rPr>
        <w:t>《方案》共五章十七条，主要内容如下：</w:t>
      </w:r>
    </w:p>
    <w:p w14:paraId="167D23EB">
      <w:pPr>
        <w:spacing w:line="560" w:lineRule="exact"/>
        <w:ind w:firstLine="640" w:firstLineChars="200"/>
        <w:rPr>
          <w:rFonts w:hint="eastAsia" w:ascii="Times New Roman" w:hAnsi="仿宋_GB2312" w:eastAsia="仿宋_GB2312" w:cs="Times New Roman"/>
          <w:sz w:val="32"/>
          <w:szCs w:val="32"/>
          <w:shd w:val="clear" w:color="auto" w:fill="FFFFFF"/>
          <w:lang w:val="en-US" w:eastAsia="zh-CN"/>
        </w:rPr>
      </w:pPr>
      <w:r>
        <w:rPr>
          <w:rFonts w:hint="eastAsia" w:ascii="楷体_GB2312" w:hAnsi="楷体_GB2312" w:eastAsia="楷体_GB2312" w:cs="楷体_GB2312"/>
          <w:sz w:val="32"/>
          <w:szCs w:val="32"/>
          <w:shd w:val="clear" w:color="auto" w:fill="FFFFFF"/>
          <w:lang w:val="en-US" w:eastAsia="zh-CN"/>
        </w:rPr>
        <w:t>（一）总则。</w:t>
      </w:r>
      <w:r>
        <w:rPr>
          <w:rFonts w:hint="eastAsia" w:ascii="Times New Roman" w:hAnsi="仿宋_GB2312" w:eastAsia="仿宋_GB2312" w:cs="Times New Roman"/>
          <w:sz w:val="32"/>
          <w:szCs w:val="32"/>
          <w:shd w:val="clear" w:color="auto" w:fill="FFFFFF"/>
          <w:lang w:val="en-US" w:eastAsia="zh-CN"/>
        </w:rPr>
        <w:t>明确保障性住房是指在克拉玛依区行政辖区内新建商品房项目中按住宅总建筑面积一定比例配建的保障性住房；适用于自实施之日起本行政区域内新出让的地块，施行后新供应的商品房建设用地适用本方案；房源包括公共租赁住房、保障性租赁住房及配售型保障性住房等。</w:t>
      </w:r>
    </w:p>
    <w:p w14:paraId="038401B0">
      <w:pPr>
        <w:spacing w:line="560" w:lineRule="exact"/>
        <w:ind w:firstLine="640" w:firstLineChars="200"/>
        <w:rPr>
          <w:rFonts w:hint="eastAsia" w:ascii="Times New Roman" w:hAnsi="仿宋_GB2312" w:eastAsia="仿宋_GB2312" w:cs="Times New Roman"/>
          <w:sz w:val="32"/>
          <w:szCs w:val="32"/>
          <w:shd w:val="clear" w:color="auto" w:fill="FFFFFF"/>
          <w:lang w:val="en-US" w:eastAsia="zh-CN"/>
        </w:rPr>
      </w:pPr>
      <w:r>
        <w:rPr>
          <w:rFonts w:hint="eastAsia" w:ascii="楷体_GB2312" w:hAnsi="楷体_GB2312" w:eastAsia="楷体_GB2312" w:cs="楷体_GB2312"/>
          <w:sz w:val="32"/>
          <w:szCs w:val="32"/>
          <w:shd w:val="clear" w:color="auto" w:fill="FFFFFF"/>
          <w:lang w:val="en-US" w:eastAsia="zh-CN"/>
        </w:rPr>
        <w:t>（二）配建方式及要求。</w:t>
      </w:r>
      <w:r>
        <w:rPr>
          <w:rFonts w:hint="eastAsia" w:ascii="Times New Roman" w:hAnsi="仿宋_GB2312" w:eastAsia="仿宋_GB2312" w:cs="Times New Roman"/>
          <w:sz w:val="32"/>
          <w:szCs w:val="32"/>
          <w:shd w:val="clear" w:color="auto" w:fill="FFFFFF"/>
          <w:lang w:val="en-US" w:eastAsia="zh-CN"/>
        </w:rPr>
        <w:t>明确了配建比例及配建方式。配建方式分为原地配建、异地配建、缴纳费用抵扣、异地购买或提供成套住房四种的具体内容。</w:t>
      </w:r>
    </w:p>
    <w:p w14:paraId="64D06E18">
      <w:pPr>
        <w:spacing w:line="560" w:lineRule="exact"/>
        <w:ind w:firstLine="640" w:firstLineChars="200"/>
        <w:rPr>
          <w:rFonts w:hint="default" w:ascii="Times New Roman" w:hAnsi="仿宋_GB2312" w:eastAsia="仿宋_GB2312" w:cs="Times New Roman"/>
          <w:sz w:val="32"/>
          <w:szCs w:val="32"/>
          <w:shd w:val="clear" w:color="auto" w:fill="FFFFFF"/>
          <w:lang w:val="en-US" w:eastAsia="zh-CN"/>
        </w:rPr>
      </w:pPr>
      <w:r>
        <w:rPr>
          <w:rFonts w:hint="eastAsia" w:ascii="楷体_GB2312" w:hAnsi="楷体_GB2312" w:eastAsia="楷体_GB2312" w:cs="楷体_GB2312"/>
          <w:sz w:val="32"/>
          <w:szCs w:val="32"/>
          <w:shd w:val="clear" w:color="auto" w:fill="FFFFFF"/>
          <w:lang w:val="en-US" w:eastAsia="zh-CN"/>
        </w:rPr>
        <w:t>（三）配建房源要求。</w:t>
      </w:r>
      <w:r>
        <w:rPr>
          <w:rFonts w:hint="eastAsia" w:ascii="Times New Roman" w:hAnsi="仿宋_GB2312" w:eastAsia="仿宋_GB2312" w:cs="Times New Roman"/>
          <w:sz w:val="32"/>
          <w:szCs w:val="32"/>
          <w:shd w:val="clear" w:color="auto" w:fill="FFFFFF"/>
          <w:lang w:val="en-US" w:eastAsia="zh-CN"/>
        </w:rPr>
        <w:t>对配建房源相关细则进行了明确；对原地配建、异地配建方式、缴纳费用抵扣以及异地购买或提供成套住房四种方式的相关办理程序及要求进行了细化；同时就完成配建的保障性住房房源移交流程、税费缴纳等环节</w:t>
      </w:r>
      <w:r>
        <w:rPr>
          <w:rFonts w:hint="default" w:ascii="Times New Roman" w:hAnsi="Times New Roman" w:eastAsia="仿宋_GB2312" w:cs="Times New Roman"/>
          <w:b w:val="0"/>
          <w:bCs/>
          <w:kern w:val="44"/>
          <w:sz w:val="32"/>
          <w:szCs w:val="32"/>
          <w:lang w:val="en-US" w:eastAsia="zh-CN" w:bidi="ar-SA"/>
        </w:rPr>
        <w:t>作出明确要求</w:t>
      </w:r>
      <w:r>
        <w:rPr>
          <w:rFonts w:hint="eastAsia" w:ascii="Times New Roman" w:hAnsi="Times New Roman" w:eastAsia="仿宋_GB2312" w:cs="Times New Roman"/>
          <w:b w:val="0"/>
          <w:bCs/>
          <w:kern w:val="44"/>
          <w:sz w:val="32"/>
          <w:szCs w:val="32"/>
          <w:lang w:val="en-US" w:eastAsia="zh-CN" w:bidi="ar-SA"/>
        </w:rPr>
        <w:t>。</w:t>
      </w:r>
    </w:p>
    <w:p w14:paraId="572D45A0">
      <w:pPr>
        <w:spacing w:line="560" w:lineRule="exact"/>
        <w:ind w:firstLine="640" w:firstLineChars="200"/>
        <w:rPr>
          <w:rFonts w:hint="eastAsia" w:ascii="Times New Roman" w:hAnsi="仿宋_GB2312" w:eastAsia="仿宋_GB2312" w:cs="Times New Roman"/>
          <w:sz w:val="32"/>
          <w:szCs w:val="32"/>
          <w:shd w:val="clear" w:color="auto" w:fill="FFFFFF"/>
          <w:lang w:val="en-US" w:eastAsia="zh-CN"/>
        </w:rPr>
      </w:pPr>
      <w:r>
        <w:rPr>
          <w:rFonts w:hint="eastAsia" w:ascii="楷体_GB2312" w:hAnsi="楷体_GB2312" w:eastAsia="楷体_GB2312" w:cs="楷体_GB2312"/>
          <w:sz w:val="32"/>
          <w:szCs w:val="32"/>
          <w:shd w:val="clear" w:color="auto" w:fill="FFFFFF"/>
          <w:lang w:val="en-US" w:eastAsia="zh-CN"/>
        </w:rPr>
        <w:t>（四）配建费资金管理。</w:t>
      </w:r>
      <w:r>
        <w:rPr>
          <w:rFonts w:hint="eastAsia" w:ascii="Times New Roman" w:hAnsi="仿宋_GB2312" w:eastAsia="仿宋_GB2312" w:cs="Times New Roman"/>
          <w:sz w:val="32"/>
          <w:szCs w:val="32"/>
          <w:shd w:val="clear" w:color="auto" w:fill="FFFFFF"/>
          <w:lang w:val="en-US" w:eastAsia="zh-CN"/>
        </w:rPr>
        <w:t>配建费缴纳方式及资金管理、使用进行明确。同时建立由区住房保障部门牵头的联席会议机制，研究解决配建工作中的重大问题。</w:t>
      </w:r>
    </w:p>
    <w:p w14:paraId="3B06BC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kern w:val="44"/>
          <w:sz w:val="32"/>
          <w:szCs w:val="32"/>
          <w:lang w:val="en-US" w:eastAsia="zh-CN" w:bidi="ar-SA"/>
        </w:rPr>
      </w:pPr>
      <w:r>
        <w:rPr>
          <w:rFonts w:hint="eastAsia" w:ascii="楷体_GB2312" w:hAnsi="楷体_GB2312" w:eastAsia="楷体_GB2312" w:cs="楷体_GB2312"/>
          <w:sz w:val="32"/>
          <w:szCs w:val="32"/>
          <w:shd w:val="clear" w:color="auto" w:fill="FFFFFF"/>
          <w:lang w:val="en-US" w:eastAsia="zh-CN"/>
        </w:rPr>
        <w:t>（五）监督与检查。</w:t>
      </w:r>
      <w:r>
        <w:rPr>
          <w:rFonts w:hint="eastAsia" w:ascii="Times New Roman" w:hAnsi="仿宋_GB2312" w:eastAsia="仿宋_GB2312" w:cs="Times New Roman"/>
          <w:sz w:val="32"/>
          <w:szCs w:val="32"/>
          <w:shd w:val="clear" w:color="auto" w:fill="FFFFFF"/>
          <w:lang w:val="en-US" w:eastAsia="zh-CN"/>
        </w:rPr>
        <w:t>对开发建设企业不配建或者少配建、未按规定程序审批、懈怠管理、不移交或者少移交、擅自挪作他用或处置等违规行为作出相关规定。同时</w:t>
      </w:r>
      <w:r>
        <w:rPr>
          <w:rFonts w:hint="default" w:ascii="Times New Roman" w:hAnsi="Times New Roman" w:eastAsia="仿宋_GB2312" w:cs="Times New Roman"/>
          <w:b w:val="0"/>
          <w:bCs/>
          <w:kern w:val="44"/>
          <w:sz w:val="32"/>
          <w:szCs w:val="32"/>
          <w:lang w:val="en-US" w:eastAsia="zh-CN" w:bidi="ar-SA"/>
        </w:rPr>
        <w:t>明确了适用范围，并</w:t>
      </w:r>
      <w:r>
        <w:rPr>
          <w:rFonts w:hint="default" w:ascii="Times New Roman" w:hAnsi="Times New Roman" w:eastAsia="仿宋_GB2312" w:cs="Times New Roman"/>
          <w:sz w:val="32"/>
          <w:szCs w:val="32"/>
        </w:rPr>
        <w:t>包含解释权归属、生效日期及其他相关事项</w:t>
      </w:r>
      <w:r>
        <w:rPr>
          <w:rFonts w:hint="default" w:ascii="Times New Roman" w:hAnsi="Times New Roman" w:eastAsia="仿宋_GB2312" w:cs="Times New Roman"/>
          <w:sz w:val="32"/>
          <w:szCs w:val="32"/>
          <w:lang w:eastAsia="zh-CN"/>
        </w:rPr>
        <w:t>。</w:t>
      </w:r>
    </w:p>
    <w:p w14:paraId="19CE6A64">
      <w:pPr>
        <w:spacing w:line="560" w:lineRule="exact"/>
        <w:ind w:firstLine="640" w:firstLineChars="200"/>
        <w:rPr>
          <w:rFonts w:hint="eastAsia" w:ascii="Times New Roman" w:hAnsi="仿宋_GB2312" w:eastAsia="仿宋_GB2312" w:cs="Times New Roman"/>
          <w:sz w:val="32"/>
          <w:szCs w:val="32"/>
          <w:shd w:val="clear" w:color="auto" w:fill="FFFFFF"/>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EFBB71"/>
    <w:multiLevelType w:val="singleLevel"/>
    <w:tmpl w:val="09EFBB71"/>
    <w:lvl w:ilvl="0" w:tentative="0">
      <w:start w:val="1"/>
      <w:numFmt w:val="chineseCounting"/>
      <w:suff w:val="nothing"/>
      <w:lvlText w:val="%1、"/>
      <w:lvlJc w:val="left"/>
      <w:rPr>
        <w:rFonts w:hint="eastAsia" w:ascii="黑体" w:hAnsi="黑体" w:eastAsia="黑体" w:cs="黑体"/>
        <w:sz w:val="30"/>
        <w:szCs w:val="30"/>
      </w:rPr>
    </w:lvl>
  </w:abstractNum>
  <w:abstractNum w:abstractNumId="1">
    <w:nsid w:val="1801CD91"/>
    <w:multiLevelType w:val="singleLevel"/>
    <w:tmpl w:val="1801CD91"/>
    <w:lvl w:ilvl="0" w:tentative="0">
      <w:start w:val="1"/>
      <w:numFmt w:val="decimal"/>
      <w:suff w:val="space"/>
      <w:lvlText w:val="%1."/>
      <w:lvlJc w:val="left"/>
      <w:pPr>
        <w:ind w:left="-10"/>
      </w:pPr>
      <w:rPr>
        <w:rFonts w:hint="default" w:ascii="Times New Roman" w:hAnsi="Times New Roman"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16161A"/>
    <w:rsid w:val="046D3EAE"/>
    <w:rsid w:val="14A54A6E"/>
    <w:rsid w:val="33BC31D9"/>
    <w:rsid w:val="4C1616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771</Words>
  <Characters>784</Characters>
  <Lines>0</Lines>
  <Paragraphs>0</Paragraphs>
  <TotalTime>8</TotalTime>
  <ScaleCrop>false</ScaleCrop>
  <LinksUpToDate>false</LinksUpToDate>
  <CharactersWithSpaces>784</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2026-10-28T08:42:00Z</dcterms:created>
  <dc:creator>扭扭泥泥</dc:creator>
  <cp:lastModifiedBy>扭扭泥泥</cp:lastModifiedBy>
  <cp:lastPrinted>2026-10-30T10:40:12Z</cp:lastPrinted>
  <dcterms:modified xsi:type="dcterms:W3CDTF">2026-10-30T10:40:37Z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1A36FC57AC7F4F969CB95A064CB3F933_11</vt:lpwstr>
  </property>
  <property fmtid="{D5CDD505-2E9C-101B-9397-08002B2CF9AE}" pid="4" name="KSOTemplateDocerSaveRecord">
    <vt:lpwstr>eyJoZGlkIjoiOWU4Y2YyMWQ5YzlmOGQxOTcwMjE1YjRhMDA1MGI2MjgiLCJ1c2VySWQiOiI0NjcxOTAzMjMifQ==</vt:lpwstr>
  </property>
</Properties>
</file>